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18CAC" w14:textId="77777777" w:rsidR="00484193" w:rsidRPr="00F52A98" w:rsidRDefault="00484193" w:rsidP="00484193">
      <w:pPr>
        <w:spacing w:after="0"/>
        <w:ind w:left="1134"/>
        <w:jc w:val="center"/>
        <w:rPr>
          <w:rFonts w:ascii="Constantia" w:hAnsi="Constantia"/>
          <w:sz w:val="30"/>
          <w:szCs w:val="30"/>
        </w:rPr>
      </w:pPr>
      <w:r>
        <w:rPr>
          <w:rFonts w:ascii="Constantia" w:hAnsi="Constantia"/>
          <w:noProof/>
        </w:rPr>
        <mc:AlternateContent>
          <mc:Choice Requires="wps">
            <w:drawing>
              <wp:anchor distT="0" distB="0" distL="114300" distR="114300" simplePos="0" relativeHeight="251660288" behindDoc="1" locked="0" layoutInCell="1" allowOverlap="1" wp14:anchorId="2C93F7A9" wp14:editId="4390DC9F">
                <wp:simplePos x="0" y="0"/>
                <wp:positionH relativeFrom="column">
                  <wp:posOffset>-635</wp:posOffset>
                </wp:positionH>
                <wp:positionV relativeFrom="paragraph">
                  <wp:posOffset>5715</wp:posOffset>
                </wp:positionV>
                <wp:extent cx="5386070" cy="980440"/>
                <wp:effectExtent l="0" t="0" r="24130" b="10160"/>
                <wp:wrapNone/>
                <wp:docPr id="2133769076" name="Rectangle 6"/>
                <wp:cNvGraphicFramePr/>
                <a:graphic xmlns:a="http://schemas.openxmlformats.org/drawingml/2006/main">
                  <a:graphicData uri="http://schemas.microsoft.com/office/word/2010/wordprocessingShape">
                    <wps:wsp>
                      <wps:cNvSpPr/>
                      <wps:spPr>
                        <a:xfrm>
                          <a:off x="0" y="0"/>
                          <a:ext cx="5386070" cy="980440"/>
                        </a:xfrm>
                        <a:prstGeom prst="rect">
                          <a:avLst/>
                        </a:prstGeom>
                        <a:solidFill>
                          <a:schemeClr val="accent3">
                            <a:lumMod val="20000"/>
                            <a:lumOff val="80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7D42EA" id="Rectangle 6" o:spid="_x0000_s1026" style="position:absolute;margin-left:-.05pt;margin-top:.45pt;width:424.1pt;height:77.2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wwlAIAAMUFAAAOAAAAZHJzL2Uyb0RvYy54bWysVNtu2zAMfR+wfxD0vtpOb2lQpwhadBjQ&#10;tcXaoc+KLMUCZFGTlDjZ14+SL8naYgOGvcgSL4fkMcnLq22jyUY4r8CUtDjKKRGGQ6XMqqTfn28/&#10;TSnxgZmKaTCipDvh6dX844fL1s7EBGrQlXAEQYyftbakdQh2lmWe16Jh/gisMKiU4BoW8OlWWeVY&#10;i+iNziZ5fpa14CrrgAvvUXrTKek84UspeHiQ0otAdEkxt5BOl85lPLP5JZutHLO14n0a7B+yaJgy&#10;GHSEumGBkbVTb6AaxR14kOGIQ5OBlIqLVANWU+SvqnmqmRWpFiTH25Em//9g+f3myT46pKG1fubx&#10;GqvYStfEL+ZHtoms3UiW2AbCUXh6PD3Lz5FTjrqLaX5yktjM9t7W+fBZQEPipaQOf0biiG3ufMCI&#10;aDqYxGAetKpuldbpERtAXGtHNgx/HeNcmHCc3PW6+QpVJ8cWyPufiGL81Z14OogxRGqliJQC/hZE&#10;m7/FXa6K2CIRZp8dvqJntmcs3cJOi4inzTchiaqQo0lKeMzgsJaiU9WsEp24OO1LeZNzAozIEskZ&#10;sXuA93gacu7to6tIszA6539KrCt49EiRwYTRuVEG3HsAOoyRO/uBpI6ayNISqt2jIw66SfSW3yrs&#10;jjvmwyNzOHrYULhOwgMeUkNbUuhvlNTgfr4nj/Y4EailpMVRLqn/sWZOUKK/GJyViyL2JgnpcXJ6&#10;PsGHO9QsDzVm3VwDtlyBi8vydI32QQ9X6aB5wa2ziFFRxQzH2CXlwQ2P69CtGNxbXCwWyQzn3bJw&#10;Z54sj+CR1dj9z9sX5mw/IgGH6x6GsWezV5PS2UZPA4t1AKnSGO157fnGXZF6tt9rcRkdvpPVfvvO&#10;fwEAAP//AwBQSwMEFAAGAAgAAAAhAKl6zaDYAAAABgEAAA8AAABkcnMvZG93bnJldi54bWxMjsFq&#10;wzAQRO+F/oPYQm6JnLYprms5iEAh16a95KZYW9vEWglLdpy/7/aUHId5zLxyO7teTDjEzpOC9SoD&#10;gVR721Gj4Of7c5mDiMmQNb0nVHDFCNvq8aE0hfUX+sLpkBrBIxQLo6BNKRRSxrpFZ+LKByTufv3g&#10;TOI4NNIO5sLjrpfPWfYmnemIH1oTcNdifT6MToGOu7mZjnsd9uexPsqg0Y1aqcXTrD9AJJzTDYZ/&#10;fVaHip1OfiQbRa9guWZQwTsILvPXnOOJqc3mBWRVynv96g8AAP//AwBQSwECLQAUAAYACAAAACEA&#10;toM4kv4AAADhAQAAEwAAAAAAAAAAAAAAAAAAAAAAW0NvbnRlbnRfVHlwZXNdLnhtbFBLAQItABQA&#10;BgAIAAAAIQA4/SH/1gAAAJQBAAALAAAAAAAAAAAAAAAAAC8BAABfcmVscy8ucmVsc1BLAQItABQA&#10;BgAIAAAAIQBKFMwwlAIAAMUFAAAOAAAAAAAAAAAAAAAAAC4CAABkcnMvZTJvRG9jLnhtbFBLAQIt&#10;ABQABgAIAAAAIQCpes2g2AAAAAYBAAAPAAAAAAAAAAAAAAAAAO4EAABkcnMvZG93bnJldi54bWxQ&#10;SwUGAAAAAAQABADzAAAA8wUAAAAA&#10;" fillcolor="#ededed [662]" strokecolor="white [3212]" strokeweight="1pt"/>
            </w:pict>
          </mc:Fallback>
        </mc:AlternateContent>
      </w:r>
      <w:r w:rsidRPr="00F52A98">
        <w:rPr>
          <w:rFonts w:ascii="Constantia" w:hAnsi="Constantia"/>
          <w:noProof/>
        </w:rPr>
        <w:drawing>
          <wp:anchor distT="0" distB="0" distL="114300" distR="114300" simplePos="0" relativeHeight="251663360" behindDoc="1" locked="0" layoutInCell="1" allowOverlap="1" wp14:anchorId="276C8B84" wp14:editId="0A3112EF">
            <wp:simplePos x="0" y="0"/>
            <wp:positionH relativeFrom="column">
              <wp:posOffset>-635</wp:posOffset>
            </wp:positionH>
            <wp:positionV relativeFrom="paragraph">
              <wp:posOffset>5715</wp:posOffset>
            </wp:positionV>
            <wp:extent cx="826135" cy="981036"/>
            <wp:effectExtent l="0" t="0" r="0" b="0"/>
            <wp:wrapNone/>
            <wp:docPr id="1813448576" name="Gambar 6" descr="Sebuah gambar berisi papan klip, Grafis, ilustrasi, deasin&#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520349" name="Gambar 6" descr="Sebuah gambar berisi papan klip, Grafis, ilustrasi, deasin&#10;&#10;Deskripsi dibuat secara otomatis"/>
                    <pic:cNvPicPr/>
                  </pic:nvPicPr>
                  <pic:blipFill rotWithShape="1">
                    <a:blip r:embed="rId9" cstate="print">
                      <a:extLst>
                        <a:ext uri="{28A0092B-C50C-407E-A947-70E740481C1C}">
                          <a14:useLocalDpi xmlns:a14="http://schemas.microsoft.com/office/drawing/2010/main" val="0"/>
                        </a:ext>
                      </a:extLst>
                    </a:blip>
                    <a:srcRect l="24992" t="22472" r="26829" b="19819"/>
                    <a:stretch/>
                  </pic:blipFill>
                  <pic:spPr bwMode="auto">
                    <a:xfrm>
                      <a:off x="0" y="0"/>
                      <a:ext cx="826135" cy="9810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2A98">
        <w:rPr>
          <w:rFonts w:ascii="Constantia" w:hAnsi="Constantia"/>
          <w:sz w:val="30"/>
          <w:szCs w:val="30"/>
        </w:rPr>
        <w:t xml:space="preserve">Jurnal Kajian Hukum dan Sosial </w:t>
      </w:r>
    </w:p>
    <w:p w14:paraId="150E7C7A" w14:textId="77777777" w:rsidR="00484193" w:rsidRPr="00F52A98" w:rsidRDefault="00484193" w:rsidP="00484193">
      <w:pPr>
        <w:spacing w:after="0"/>
        <w:ind w:left="1134"/>
        <w:jc w:val="center"/>
        <w:rPr>
          <w:rFonts w:ascii="Constantia" w:hAnsi="Constantia"/>
          <w:sz w:val="30"/>
          <w:szCs w:val="30"/>
        </w:rPr>
      </w:pPr>
      <w:r w:rsidRPr="00F52A98">
        <w:rPr>
          <w:rFonts w:ascii="Constantia" w:hAnsi="Constantia"/>
          <w:sz w:val="30"/>
          <w:szCs w:val="30"/>
        </w:rPr>
        <w:t>Facul</w:t>
      </w:r>
      <w:r>
        <w:rPr>
          <w:rFonts w:ascii="Constantia" w:hAnsi="Constantia"/>
          <w:sz w:val="30"/>
          <w:szCs w:val="30"/>
        </w:rPr>
        <w:t>ty of Law</w:t>
      </w:r>
      <w:r w:rsidRPr="00F52A98">
        <w:rPr>
          <w:rFonts w:ascii="Constantia" w:hAnsi="Constantia"/>
          <w:sz w:val="30"/>
          <w:szCs w:val="30"/>
        </w:rPr>
        <w:t>, Universitas Jenderal Soedirman</w:t>
      </w:r>
    </w:p>
    <w:p w14:paraId="67CA0D90" w14:textId="77777777" w:rsidR="00484193" w:rsidRPr="00F52A98" w:rsidRDefault="00484193" w:rsidP="00484193">
      <w:pPr>
        <w:spacing w:after="0"/>
        <w:ind w:left="1134"/>
        <w:jc w:val="center"/>
        <w:rPr>
          <w:rFonts w:ascii="Constantia" w:hAnsi="Constantia"/>
          <w:sz w:val="16"/>
          <w:szCs w:val="16"/>
        </w:rPr>
      </w:pPr>
      <w:r>
        <w:rPr>
          <w:rFonts w:ascii="Constantia" w:hAnsi="Constantia"/>
          <w:sz w:val="16"/>
          <w:szCs w:val="16"/>
        </w:rPr>
        <w:t>E-</w:t>
      </w:r>
      <w:r w:rsidRPr="00F52A98">
        <w:rPr>
          <w:rFonts w:ascii="Constantia" w:hAnsi="Constantia"/>
          <w:sz w:val="16"/>
          <w:szCs w:val="16"/>
        </w:rPr>
        <w:t xml:space="preserve">ISSN: ………. </w:t>
      </w:r>
      <w:r>
        <w:rPr>
          <w:rFonts w:ascii="Constantia" w:hAnsi="Constantia"/>
          <w:sz w:val="16"/>
          <w:szCs w:val="16"/>
        </w:rPr>
        <w:t>P-</w:t>
      </w:r>
      <w:r w:rsidRPr="00F52A98">
        <w:rPr>
          <w:rFonts w:ascii="Constantia" w:hAnsi="Constantia"/>
          <w:sz w:val="16"/>
          <w:szCs w:val="16"/>
        </w:rPr>
        <w:t>ISSN: ……….</w:t>
      </w:r>
    </w:p>
    <w:p w14:paraId="4D7744D3" w14:textId="77777777" w:rsidR="00484193" w:rsidRDefault="00484193" w:rsidP="00484193">
      <w:pPr>
        <w:spacing w:after="0"/>
        <w:ind w:left="1134"/>
        <w:jc w:val="center"/>
        <w:rPr>
          <w:rFonts w:ascii="Constantia" w:hAnsi="Constantia"/>
          <w:sz w:val="16"/>
          <w:szCs w:val="16"/>
        </w:rPr>
      </w:pPr>
      <w:r w:rsidRPr="00F52A98">
        <w:rPr>
          <w:rFonts w:ascii="Constantia" w:hAnsi="Constantia"/>
          <w:sz w:val="16"/>
          <w:szCs w:val="16"/>
        </w:rPr>
        <w:t>HR. Boonyamin St. 708, Purwokerto, Central Java, Indonesia.</w:t>
      </w:r>
    </w:p>
    <w:p w14:paraId="739821A0" w14:textId="77777777" w:rsidR="00484193" w:rsidRPr="00F52A98" w:rsidRDefault="00484193" w:rsidP="00484193">
      <w:pPr>
        <w:spacing w:after="0"/>
        <w:ind w:left="1134"/>
        <w:jc w:val="center"/>
        <w:rPr>
          <w:rFonts w:ascii="Constantia" w:hAnsi="Constantia"/>
          <w:sz w:val="16"/>
          <w:szCs w:val="16"/>
        </w:rPr>
      </w:pPr>
      <w:r>
        <w:rPr>
          <w:rFonts w:ascii="Constantia" w:hAnsi="Constantia"/>
          <w:sz w:val="16"/>
          <w:szCs w:val="16"/>
        </w:rPr>
        <w:sym w:font="Webdings" w:char="F0FC"/>
      </w:r>
      <w:r>
        <w:rPr>
          <w:rFonts w:ascii="Constantia" w:hAnsi="Constantia"/>
          <w:sz w:val="16"/>
          <w:szCs w:val="16"/>
        </w:rPr>
        <w:t xml:space="preserve"> </w:t>
      </w:r>
      <w:hyperlink r:id="rId10" w:history="1">
        <w:r w:rsidRPr="00326FFB">
          <w:rPr>
            <w:rStyle w:val="Hyperlink"/>
            <w:rFonts w:ascii="Constantia" w:hAnsi="Constantia"/>
            <w:sz w:val="16"/>
            <w:szCs w:val="16"/>
          </w:rPr>
          <w:t>jos.unsoed.ac.id/index.php/jkhs/index</w:t>
        </w:r>
      </w:hyperlink>
      <w:r w:rsidRPr="00F52A98">
        <w:rPr>
          <w:rFonts w:ascii="Constantia" w:hAnsi="Constantia"/>
          <w:sz w:val="16"/>
          <w:szCs w:val="16"/>
        </w:rPr>
        <w:t xml:space="preserve"> </w:t>
      </w:r>
      <w:r>
        <w:rPr>
          <w:rFonts w:ascii="Constantia" w:hAnsi="Constantia"/>
          <w:sz w:val="16"/>
          <w:szCs w:val="16"/>
        </w:rPr>
        <w:sym w:font="Wingdings" w:char="F02A"/>
      </w:r>
      <w:r w:rsidRPr="00326FFB">
        <w:t xml:space="preserve"> </w:t>
      </w:r>
      <w:hyperlink r:id="rId11" w:history="1">
        <w:r w:rsidRPr="00326FFB">
          <w:rPr>
            <w:rStyle w:val="Hyperlink"/>
            <w:rFonts w:ascii="Constantia" w:hAnsi="Constantia"/>
            <w:sz w:val="16"/>
            <w:szCs w:val="16"/>
          </w:rPr>
          <w:t>jkhs@unsoed.ac.id</w:t>
        </w:r>
      </w:hyperlink>
    </w:p>
    <w:p w14:paraId="5A2D6330" w14:textId="7F74CDBF" w:rsidR="00B36CCE" w:rsidRDefault="00B36CCE" w:rsidP="00484193">
      <w:pPr>
        <w:spacing w:before="240" w:after="0"/>
        <w:jc w:val="center"/>
        <w:rPr>
          <w:rFonts w:ascii="Constantia" w:hAnsi="Constantia"/>
          <w:b/>
          <w:bCs/>
          <w:sz w:val="28"/>
        </w:rPr>
      </w:pPr>
      <w:r w:rsidRPr="00B36CCE">
        <w:rPr>
          <w:rFonts w:ascii="Constantia" w:hAnsi="Constantia"/>
          <w:b/>
          <w:bCs/>
          <w:sz w:val="28"/>
        </w:rPr>
        <w:t xml:space="preserve">Efektivitas Penggunaan </w:t>
      </w:r>
      <w:r w:rsidRPr="00B36CCE">
        <w:rPr>
          <w:rFonts w:ascii="Constantia" w:hAnsi="Constantia"/>
          <w:b/>
          <w:bCs/>
          <w:i/>
          <w:iCs/>
          <w:sz w:val="28"/>
        </w:rPr>
        <w:t>Eletronic Traffic Law Enforcement</w:t>
      </w:r>
      <w:r w:rsidRPr="00B36CCE">
        <w:rPr>
          <w:rFonts w:ascii="Constantia" w:hAnsi="Constantia"/>
          <w:b/>
          <w:bCs/>
          <w:sz w:val="28"/>
        </w:rPr>
        <w:t xml:space="preserve"> Di</w:t>
      </w:r>
      <w:r w:rsidR="00A06ABC">
        <w:rPr>
          <w:rFonts w:ascii="Constantia" w:hAnsi="Constantia"/>
          <w:b/>
          <w:bCs/>
          <w:sz w:val="28"/>
        </w:rPr>
        <w:t xml:space="preserve"> </w:t>
      </w:r>
      <w:r w:rsidRPr="00B36CCE">
        <w:rPr>
          <w:rFonts w:ascii="Constantia" w:hAnsi="Constantia"/>
          <w:b/>
          <w:bCs/>
          <w:sz w:val="28"/>
        </w:rPr>
        <w:t>Purwokerto</w:t>
      </w:r>
    </w:p>
    <w:p w14:paraId="234887BC" w14:textId="00A5E4AB" w:rsidR="00484193" w:rsidRPr="00863F2A" w:rsidRDefault="002C7188" w:rsidP="00A00380">
      <w:pPr>
        <w:spacing w:before="240" w:after="0"/>
        <w:jc w:val="center"/>
        <w:rPr>
          <w:rFonts w:ascii="Constantia" w:hAnsi="Constantia"/>
          <w:b/>
          <w:bCs/>
          <w:szCs w:val="24"/>
          <w:vertAlign w:val="superscript"/>
        </w:rPr>
      </w:pPr>
      <w:r>
        <w:rPr>
          <w:rFonts w:ascii="Constantia" w:hAnsi="Constantia"/>
          <w:b/>
          <w:bCs/>
          <w:szCs w:val="24"/>
        </w:rPr>
        <w:t>David Satria Kelana*</w:t>
      </w:r>
    </w:p>
    <w:p w14:paraId="308BFC88" w14:textId="3F1A8D8A" w:rsidR="00484193" w:rsidRPr="00863F2A" w:rsidRDefault="002C7188" w:rsidP="00A00380">
      <w:pPr>
        <w:spacing w:after="240"/>
        <w:jc w:val="center"/>
        <w:rPr>
          <w:rFonts w:ascii="Constantia" w:hAnsi="Constantia"/>
          <w:i/>
          <w:iCs/>
          <w:sz w:val="20"/>
          <w:szCs w:val="20"/>
        </w:rPr>
      </w:pPr>
      <w:r>
        <w:rPr>
          <w:rFonts w:ascii="Constantia" w:hAnsi="Constantia"/>
          <w:i/>
          <w:iCs/>
          <w:sz w:val="20"/>
          <w:szCs w:val="20"/>
        </w:rPr>
        <w:t>Universitas Jenderal Soedirman</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DEDED" w:themeFill="accent3" w:themeFillTint="33"/>
        <w:tblLook w:val="04A0" w:firstRow="1" w:lastRow="0" w:firstColumn="1" w:lastColumn="0" w:noHBand="0" w:noVBand="1"/>
      </w:tblPr>
      <w:tblGrid>
        <w:gridCol w:w="2653"/>
        <w:gridCol w:w="397"/>
        <w:gridCol w:w="5454"/>
      </w:tblGrid>
      <w:tr w:rsidR="002C7188" w:rsidRPr="00871C92" w14:paraId="7CAC06CB" w14:textId="77777777" w:rsidTr="00044B8B">
        <w:tc>
          <w:tcPr>
            <w:tcW w:w="2572" w:type="dxa"/>
            <w:shd w:val="clear" w:color="auto" w:fill="EDEDED" w:themeFill="accent3" w:themeFillTint="33"/>
          </w:tcPr>
          <w:p w14:paraId="0563C0F5" w14:textId="77777777" w:rsidR="00484193" w:rsidRPr="00871C92" w:rsidRDefault="00484193" w:rsidP="00044B8B">
            <w:pPr>
              <w:spacing w:after="0"/>
              <w:rPr>
                <w:rFonts w:ascii="Constantia" w:hAnsi="Constantia"/>
                <w:b/>
                <w:bCs/>
                <w:i/>
                <w:iCs/>
                <w:szCs w:val="24"/>
              </w:rPr>
            </w:pPr>
            <w:r w:rsidRPr="00081BC6">
              <w:rPr>
                <w:i/>
                <w:iCs/>
                <w:noProof/>
                <w:color w:val="262626" w:themeColor="text1" w:themeTint="D9"/>
                <w:szCs w:val="24"/>
              </w:rPr>
              <mc:AlternateContent>
                <mc:Choice Requires="wps">
                  <w:drawing>
                    <wp:anchor distT="0" distB="0" distL="114300" distR="114300" simplePos="0" relativeHeight="251662336" behindDoc="0" locked="0" layoutInCell="1" allowOverlap="1" wp14:anchorId="17B01559" wp14:editId="592FA57D">
                      <wp:simplePos x="0" y="0"/>
                      <wp:positionH relativeFrom="column">
                        <wp:posOffset>1894501</wp:posOffset>
                      </wp:positionH>
                      <wp:positionV relativeFrom="paragraph">
                        <wp:posOffset>165242</wp:posOffset>
                      </wp:positionV>
                      <wp:extent cx="3494233" cy="2269"/>
                      <wp:effectExtent l="0" t="0" r="30480" b="36195"/>
                      <wp:wrapNone/>
                      <wp:docPr id="1818074011" name="Straight Connector 1"/>
                      <wp:cNvGraphicFramePr/>
                      <a:graphic xmlns:a="http://schemas.openxmlformats.org/drawingml/2006/main">
                        <a:graphicData uri="http://schemas.microsoft.com/office/word/2010/wordprocessingShape">
                          <wps:wsp>
                            <wps:cNvCnPr/>
                            <wps:spPr>
                              <a:xfrm flipV="1">
                                <a:off x="0" y="0"/>
                                <a:ext cx="3494233" cy="22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38FD3"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15pt,13pt" to="424.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QOpgEAAJUDAAAOAAAAZHJzL2Uyb0RvYy54bWysU01v1DAQvSPxHyzf2WSzVUWjzfbQil4Q&#10;VEB7d53xxsJfss0m++8ZT3ZT1IKEEBfLH/PezHsz3l5P1rADxKS96/h6VXMGTvpeu33HH759ePee&#10;s5SF64XxDjp+hMSvd2/fbMfQQuMHb3qIDElcasfQ8SHn0FZVkgNYkVY+gMNH5aMVGY9xX/VRjMhu&#10;TdXU9WU1+tiH6CWkhLe38yPfEb9SIPNnpRJkZjqOtWVaI61PZa12W9HuowiDlqcyxD9UYYV2mHSh&#10;uhVZsB9Rv6KyWkafvMor6W3lldISSAOqWdcv1HwdRADSguaksNiU/h+t/HS4cfcRbRhDalO4j0XF&#10;pKJlyujwiD0lXVgpm8i242IbTJlJvNxcXF00mw1nEt+a5vKquFrNLIUtxJTvwFtWNh032hVRohWH&#10;jynPoecQxD3XQbt8NFCCjfsCiuke880V0YjAjYnsILC5/ff1KS1FFojSxiygmlL+EXSKLTCgsflb&#10;4BJNGb3LC9Bq5+PvsubpXKqa48+qZ61F9pPvj9QVsgN7T4ae5rQM169ngj//pt1PAAAA//8DAFBL&#10;AwQUAAYACAAAACEAJf3Ns9wAAAAJAQAADwAAAGRycy9kb3ducmV2LnhtbEyPQW/CMAyF75P2HyJP&#10;2m0kMOi60hQB0rTzYBduaWPaisYpTYDu38+ctpvt9/T8vXw1uk5ccQitJw3TiQKBVHnbUq3he//x&#10;koII0ZA1nSfU8IMBVsXjQ24y62/0hdddrAWHUMiMhibGPpMyVA06Eya+R2Lt6AdnIq9DLe1gbhzu&#10;OjlTKpHOtMQfGtPjtsHqtLs4DftPp8Yytluk85taHzaLhA4LrZ+fxvUSRMQx/pnhjs/oUDBT6S9k&#10;g+g0zN7TV7bykHAnNqTzNAFR3g9zkEUu/zcofgEAAP//AwBQSwECLQAUAAYACAAAACEAtoM4kv4A&#10;AADhAQAAEwAAAAAAAAAAAAAAAAAAAAAAW0NvbnRlbnRfVHlwZXNdLnhtbFBLAQItABQABgAIAAAA&#10;IQA4/SH/1gAAAJQBAAALAAAAAAAAAAAAAAAAAC8BAABfcmVscy8ucmVsc1BLAQItABQABgAIAAAA&#10;IQBZKCQOpgEAAJUDAAAOAAAAAAAAAAAAAAAAAC4CAABkcnMvZTJvRG9jLnhtbFBLAQItABQABgAI&#10;AAAAIQAl/c2z3AAAAAkBAAAPAAAAAAAAAAAAAAAAAAAEAABkcnMvZG93bnJldi54bWxQSwUGAAAA&#10;AAQABADzAAAACQUAAAAA&#10;" strokecolor="black [3200]" strokeweight=".5pt">
                      <v:stroke joinstyle="miter"/>
                    </v:line>
                  </w:pict>
                </mc:Fallback>
              </mc:AlternateContent>
            </w:r>
            <w:r w:rsidRPr="00081BC6">
              <w:rPr>
                <w:i/>
                <w:iCs/>
                <w:noProof/>
                <w:color w:val="262626" w:themeColor="text1" w:themeTint="D9"/>
                <w:szCs w:val="24"/>
              </w:rPr>
              <mc:AlternateContent>
                <mc:Choice Requires="wps">
                  <w:drawing>
                    <wp:anchor distT="0" distB="0" distL="114300" distR="114300" simplePos="0" relativeHeight="251661312" behindDoc="0" locked="0" layoutInCell="1" allowOverlap="1" wp14:anchorId="13EC820E" wp14:editId="73461E29">
                      <wp:simplePos x="0" y="0"/>
                      <wp:positionH relativeFrom="column">
                        <wp:posOffset>-2744</wp:posOffset>
                      </wp:positionH>
                      <wp:positionV relativeFrom="paragraph">
                        <wp:posOffset>166654</wp:posOffset>
                      </wp:positionV>
                      <wp:extent cx="1625698" cy="0"/>
                      <wp:effectExtent l="0" t="0" r="0" b="0"/>
                      <wp:wrapNone/>
                      <wp:docPr id="2050615375" name="Straight Connector 1"/>
                      <wp:cNvGraphicFramePr/>
                      <a:graphic xmlns:a="http://schemas.openxmlformats.org/drawingml/2006/main">
                        <a:graphicData uri="http://schemas.microsoft.com/office/word/2010/wordprocessingShape">
                          <wps:wsp>
                            <wps:cNvCnPr/>
                            <wps:spPr>
                              <a:xfrm>
                                <a:off x="0" y="0"/>
                                <a:ext cx="16256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8C9C91"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3.1pt" to="127.8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10mAEAAIgDAAAOAAAAZHJzL2Uyb0RvYy54bWysU8uu0zAQ3SPxD5b3NGklKoia3sW9gg2C&#10;Kx4f4OuMGwvbY41Nk/49Y7dNESCEEBvHj3POzJmZ7O5m78QRKFkMvVyvWikgaBxsOPTyy+c3L15J&#10;kbIKg3IYoJcnSPJu//zZboodbHBENwAJFgmpm2Ivx5xj1zRJj+BVWmGEwI8GyavMRzo0A6mJ1b1r&#10;Nm27bSakIRJqSIlvH86Pcl/1jQGdPxiTIAvXS84t15Xq+lTWZr9T3YFUHK2+pKH+IQuvbOCgi9SD&#10;ykp8I/uLlLeaMKHJK42+QWOshuqB3azbn9x8GlWE6oWLk+JSpvT/ZPX74314JC7DFFOX4iMVF7Mh&#10;X76cn5hrsU5LsWDOQvPlert5uX3N7dXXt+ZGjJTyW0AvyqaXzobiQ3Xq+C5lDsbQK4QPt9B1l08O&#10;CtiFj2CEHUqwyq5TAfeOxFFxP4ev69I/1qrIQjHWuYXU/pl0wRYa1En5W+KCrhEx5IXobUD6XdQ8&#10;X1M1Z/zV9dlrsf2Ew6k2opaD212dXUazzNOP50q//UD77wAAAP//AwBQSwMEFAAGAAgAAAAhAKCw&#10;V0HaAAAABwEAAA8AAABkcnMvZG93bnJldi54bWxMjl9LwzAUxd8Fv0O4gm9banBFatMxBiK+iOv0&#10;PWvu2m7JTUnSrn57Iz64x/OHc37leraGTehD70jCwzIDhtQ43VMr4XP/sngCFqIirYwjlPCNAdbV&#10;7U2pCu0utMOpji1LIxQKJaGLcSg4D02HVoWlG5BSdnTeqpikb7n26pLGreEiy3JuVU/poVMDbjts&#10;zvVoJZg3P32123YTxtddXp8+juJ9P0l5fzdvnoFFnON/GX7xEzpUiengRtKBGQmLx1SUIHIBLMVi&#10;tcqBHf4MXpX8mr/6AQAA//8DAFBLAQItABQABgAIAAAAIQC2gziS/gAAAOEBAAATAAAAAAAAAAAA&#10;AAAAAAAAAABbQ29udGVudF9UeXBlc10ueG1sUEsBAi0AFAAGAAgAAAAhADj9If/WAAAAlAEAAAsA&#10;AAAAAAAAAAAAAAAALwEAAF9yZWxzLy5yZWxzUEsBAi0AFAAGAAgAAAAhAAcKXXSYAQAAiAMAAA4A&#10;AAAAAAAAAAAAAAAALgIAAGRycy9lMm9Eb2MueG1sUEsBAi0AFAAGAAgAAAAhAKCwV0HaAAAABwEA&#10;AA8AAAAAAAAAAAAAAAAA8gMAAGRycy9kb3ducmV2LnhtbFBLBQYAAAAABAAEAPMAAAD5BAAAAAA=&#10;" strokecolor="black [3200]" strokeweight=".5pt">
                      <v:stroke joinstyle="miter"/>
                    </v:line>
                  </w:pict>
                </mc:Fallback>
              </mc:AlternateContent>
            </w:r>
          </w:p>
        </w:tc>
        <w:tc>
          <w:tcPr>
            <w:tcW w:w="400" w:type="dxa"/>
            <w:shd w:val="clear" w:color="auto" w:fill="EDEDED" w:themeFill="accent3" w:themeFillTint="33"/>
          </w:tcPr>
          <w:p w14:paraId="5EEE186C" w14:textId="77777777" w:rsidR="00484193" w:rsidRPr="00871C92" w:rsidRDefault="00484193" w:rsidP="00044B8B">
            <w:pPr>
              <w:spacing w:after="0"/>
              <w:rPr>
                <w:rFonts w:ascii="Constantia" w:hAnsi="Constantia"/>
                <w:b/>
                <w:bCs/>
                <w:i/>
                <w:iCs/>
                <w:szCs w:val="24"/>
              </w:rPr>
            </w:pPr>
          </w:p>
        </w:tc>
        <w:tc>
          <w:tcPr>
            <w:tcW w:w="5522" w:type="dxa"/>
            <w:shd w:val="clear" w:color="auto" w:fill="EDEDED" w:themeFill="accent3" w:themeFillTint="33"/>
          </w:tcPr>
          <w:p w14:paraId="6F2BC185" w14:textId="5723961C" w:rsidR="00484193" w:rsidRPr="00DD6E50" w:rsidRDefault="00484193" w:rsidP="00044B8B">
            <w:pPr>
              <w:spacing w:after="0"/>
              <w:rPr>
                <w:rFonts w:ascii="Constantia" w:hAnsi="Constantia"/>
                <w:b/>
                <w:bCs/>
                <w:i/>
                <w:iCs/>
                <w:sz w:val="18"/>
                <w:szCs w:val="18"/>
              </w:rPr>
            </w:pPr>
            <w:r w:rsidRPr="00DD6E50">
              <w:rPr>
                <w:rFonts w:ascii="Constantia" w:hAnsi="Constantia"/>
                <w:b/>
                <w:bCs/>
                <w:sz w:val="18"/>
                <w:szCs w:val="18"/>
              </w:rPr>
              <w:t>Abstrak</w:t>
            </w:r>
          </w:p>
        </w:tc>
      </w:tr>
      <w:tr w:rsidR="002C7188" w:rsidRPr="00871C92" w14:paraId="77BC7D13" w14:textId="77777777" w:rsidTr="00044B8B">
        <w:tc>
          <w:tcPr>
            <w:tcW w:w="2572" w:type="dxa"/>
            <w:shd w:val="clear" w:color="auto" w:fill="EDEDED" w:themeFill="accent3" w:themeFillTint="33"/>
          </w:tcPr>
          <w:p w14:paraId="6E8DA722" w14:textId="6DC7EBCD" w:rsidR="00484193" w:rsidRPr="00DD6E50" w:rsidRDefault="00F67F0F" w:rsidP="00044B8B">
            <w:pPr>
              <w:spacing w:after="0" w:line="240" w:lineRule="auto"/>
              <w:ind w:right="99"/>
              <w:rPr>
                <w:rFonts w:ascii="Constantia" w:hAnsi="Constantia"/>
                <w:b/>
                <w:bCs/>
                <w:sz w:val="18"/>
                <w:szCs w:val="18"/>
              </w:rPr>
            </w:pPr>
            <w:r>
              <w:rPr>
                <w:rFonts w:ascii="Constantia" w:hAnsi="Constantia"/>
                <w:b/>
                <w:bCs/>
                <w:sz w:val="18"/>
                <w:szCs w:val="18"/>
              </w:rPr>
              <w:t>Korespondensi Penulis</w:t>
            </w:r>
            <w:r w:rsidR="00484193" w:rsidRPr="00DD6E50">
              <w:rPr>
                <w:rFonts w:ascii="Constantia" w:hAnsi="Constantia"/>
                <w:b/>
                <w:bCs/>
                <w:sz w:val="18"/>
                <w:szCs w:val="18"/>
              </w:rPr>
              <w:t>:</w:t>
            </w:r>
          </w:p>
          <w:p w14:paraId="4B51BA43" w14:textId="40AB021C" w:rsidR="00484193" w:rsidRPr="00DD6E50" w:rsidRDefault="00484193" w:rsidP="00044B8B">
            <w:pPr>
              <w:spacing w:after="0" w:line="240" w:lineRule="auto"/>
              <w:ind w:right="99"/>
              <w:rPr>
                <w:rFonts w:ascii="Constantia" w:hAnsi="Constantia"/>
                <w:sz w:val="18"/>
                <w:szCs w:val="18"/>
              </w:rPr>
            </w:pPr>
            <w:r w:rsidRPr="00DD6E50">
              <w:rPr>
                <w:rFonts w:ascii="Constantia" w:hAnsi="Constantia"/>
                <w:sz w:val="18"/>
                <w:szCs w:val="18"/>
              </w:rPr>
              <w:sym w:font="Wingdings" w:char="F02A"/>
            </w:r>
            <w:r w:rsidRPr="00DD6E50">
              <w:rPr>
                <w:rFonts w:ascii="Constantia" w:hAnsi="Constantia"/>
                <w:sz w:val="18"/>
                <w:szCs w:val="18"/>
              </w:rPr>
              <w:t xml:space="preserve"> </w:t>
            </w:r>
            <w:hyperlink r:id="rId12" w:history="1">
              <w:r w:rsidR="002C7188" w:rsidRPr="005B2671">
                <w:rPr>
                  <w:rStyle w:val="Hyperlink"/>
                  <w:rFonts w:ascii="Constantia" w:hAnsi="Constantia"/>
                  <w:sz w:val="18"/>
                  <w:szCs w:val="18"/>
                </w:rPr>
                <w:t>davidsatriakelana@gmail.com</w:t>
              </w:r>
            </w:hyperlink>
            <w:r w:rsidR="002C7188">
              <w:rPr>
                <w:rFonts w:ascii="Constantia" w:hAnsi="Constantia"/>
                <w:sz w:val="18"/>
                <w:szCs w:val="18"/>
              </w:rPr>
              <w:t xml:space="preserve"> </w:t>
            </w:r>
          </w:p>
          <w:p w14:paraId="1963805F" w14:textId="77777777" w:rsidR="00484193" w:rsidRPr="00871C92" w:rsidRDefault="00484193" w:rsidP="00044B8B">
            <w:pPr>
              <w:spacing w:after="0" w:line="240" w:lineRule="auto"/>
              <w:ind w:right="99"/>
              <w:rPr>
                <w:rFonts w:ascii="Constantia" w:hAnsi="Constantia"/>
                <w:sz w:val="16"/>
                <w:szCs w:val="16"/>
              </w:rPr>
            </w:pPr>
          </w:p>
          <w:p w14:paraId="194082CC" w14:textId="17E93245" w:rsidR="00484193" w:rsidRDefault="00F67F0F" w:rsidP="00044B8B">
            <w:pPr>
              <w:spacing w:after="0" w:line="240" w:lineRule="auto"/>
              <w:ind w:right="99"/>
              <w:rPr>
                <w:rFonts w:ascii="Constantia" w:hAnsi="Constantia"/>
                <w:b/>
                <w:bCs/>
                <w:sz w:val="18"/>
                <w:szCs w:val="18"/>
              </w:rPr>
            </w:pPr>
            <w:r>
              <w:rPr>
                <w:rFonts w:ascii="Constantia" w:hAnsi="Constantia"/>
                <w:b/>
                <w:bCs/>
                <w:sz w:val="18"/>
                <w:szCs w:val="18"/>
              </w:rPr>
              <w:t>Unggah</w:t>
            </w:r>
            <w:r w:rsidR="00484193" w:rsidRPr="00DD6E50">
              <w:rPr>
                <w:rFonts w:ascii="Constantia" w:hAnsi="Constantia"/>
                <w:sz w:val="18"/>
                <w:szCs w:val="18"/>
              </w:rPr>
              <w:t xml:space="preserve">: </w:t>
            </w:r>
            <w:r w:rsidR="00513485">
              <w:rPr>
                <w:rFonts w:ascii="Constantia" w:hAnsi="Constantia"/>
                <w:sz w:val="18"/>
                <w:szCs w:val="18"/>
              </w:rPr>
              <w:t>27 Januari 2024</w:t>
            </w:r>
          </w:p>
          <w:p w14:paraId="5AE68E1F" w14:textId="49068385" w:rsidR="00484193" w:rsidRDefault="00484193" w:rsidP="00044B8B">
            <w:pPr>
              <w:spacing w:after="0" w:line="240" w:lineRule="auto"/>
              <w:ind w:right="99"/>
              <w:rPr>
                <w:rFonts w:ascii="Constantia" w:hAnsi="Constantia"/>
                <w:b/>
                <w:bCs/>
                <w:sz w:val="18"/>
                <w:szCs w:val="18"/>
              </w:rPr>
            </w:pPr>
            <w:r>
              <w:rPr>
                <w:rFonts w:ascii="Constantia" w:hAnsi="Constantia"/>
                <w:b/>
                <w:bCs/>
                <w:sz w:val="18"/>
                <w:szCs w:val="18"/>
              </w:rPr>
              <w:t>Rev</w:t>
            </w:r>
            <w:r w:rsidR="00F67F0F">
              <w:rPr>
                <w:rFonts w:ascii="Constantia" w:hAnsi="Constantia"/>
                <w:b/>
                <w:bCs/>
                <w:sz w:val="18"/>
                <w:szCs w:val="18"/>
              </w:rPr>
              <w:t>isi</w:t>
            </w:r>
            <w:r w:rsidRPr="00DD6E50">
              <w:rPr>
                <w:rFonts w:ascii="Constantia" w:hAnsi="Constantia"/>
                <w:sz w:val="18"/>
                <w:szCs w:val="18"/>
              </w:rPr>
              <w:t xml:space="preserve">: </w:t>
            </w:r>
            <w:r w:rsidR="00513485">
              <w:rPr>
                <w:rFonts w:ascii="Constantia" w:hAnsi="Constantia"/>
                <w:sz w:val="18"/>
                <w:szCs w:val="18"/>
              </w:rPr>
              <w:t>13 Maret 2024</w:t>
            </w:r>
          </w:p>
          <w:p w14:paraId="59E71613" w14:textId="2C2FFEF5" w:rsidR="00484193" w:rsidRDefault="00F67F0F" w:rsidP="00044B8B">
            <w:pPr>
              <w:spacing w:after="0" w:line="240" w:lineRule="auto"/>
              <w:ind w:right="99"/>
              <w:rPr>
                <w:rFonts w:ascii="Constantia" w:hAnsi="Constantia"/>
                <w:b/>
                <w:bCs/>
                <w:sz w:val="18"/>
                <w:szCs w:val="18"/>
              </w:rPr>
            </w:pPr>
            <w:r>
              <w:rPr>
                <w:rFonts w:ascii="Constantia" w:hAnsi="Constantia"/>
                <w:b/>
                <w:bCs/>
                <w:sz w:val="18"/>
                <w:szCs w:val="18"/>
              </w:rPr>
              <w:t>Disetujui</w:t>
            </w:r>
            <w:r w:rsidR="00484193" w:rsidRPr="00DD6E50">
              <w:rPr>
                <w:rFonts w:ascii="Constantia" w:hAnsi="Constantia"/>
                <w:sz w:val="18"/>
                <w:szCs w:val="18"/>
              </w:rPr>
              <w:t xml:space="preserve">: </w:t>
            </w:r>
            <w:r w:rsidR="00513485">
              <w:rPr>
                <w:rFonts w:ascii="Constantia" w:hAnsi="Constantia"/>
                <w:sz w:val="18"/>
                <w:szCs w:val="18"/>
              </w:rPr>
              <w:t>01 April</w:t>
            </w:r>
            <w:r w:rsidR="002C7188">
              <w:rPr>
                <w:rFonts w:ascii="Constantia" w:hAnsi="Constantia"/>
                <w:sz w:val="18"/>
                <w:szCs w:val="18"/>
              </w:rPr>
              <w:t>2</w:t>
            </w:r>
            <w:r w:rsidR="00513485">
              <w:rPr>
                <w:rFonts w:ascii="Constantia" w:hAnsi="Constantia"/>
                <w:sz w:val="18"/>
                <w:szCs w:val="18"/>
              </w:rPr>
              <w:t>02</w:t>
            </w:r>
            <w:r w:rsidR="002C7188">
              <w:rPr>
                <w:rFonts w:ascii="Constantia" w:hAnsi="Constantia"/>
                <w:sz w:val="18"/>
                <w:szCs w:val="18"/>
              </w:rPr>
              <w:t>4</w:t>
            </w:r>
          </w:p>
          <w:p w14:paraId="1146B670" w14:textId="77777777" w:rsidR="00484193" w:rsidRDefault="00484193" w:rsidP="00044B8B">
            <w:pPr>
              <w:spacing w:after="0" w:line="240" w:lineRule="auto"/>
              <w:ind w:right="99"/>
              <w:rPr>
                <w:rFonts w:ascii="Constantia" w:hAnsi="Constantia"/>
                <w:b/>
                <w:bCs/>
                <w:sz w:val="18"/>
                <w:szCs w:val="18"/>
              </w:rPr>
            </w:pPr>
          </w:p>
          <w:p w14:paraId="60D1B0DD" w14:textId="132482C1" w:rsidR="00484193" w:rsidRPr="00871C92" w:rsidRDefault="00863F2A" w:rsidP="00044B8B">
            <w:pPr>
              <w:spacing w:after="0" w:line="240" w:lineRule="auto"/>
              <w:ind w:right="99"/>
              <w:rPr>
                <w:rFonts w:ascii="Constantia" w:hAnsi="Constantia"/>
                <w:b/>
                <w:bCs/>
                <w:sz w:val="18"/>
                <w:szCs w:val="18"/>
              </w:rPr>
            </w:pPr>
            <w:r>
              <w:rPr>
                <w:rFonts w:ascii="Constantia" w:hAnsi="Constantia"/>
                <w:b/>
                <w:bCs/>
                <w:sz w:val="18"/>
                <w:szCs w:val="18"/>
              </w:rPr>
              <w:t>Kata Kunci</w:t>
            </w:r>
            <w:r w:rsidR="00484193" w:rsidRPr="00871C92">
              <w:rPr>
                <w:rFonts w:ascii="Constantia" w:hAnsi="Constantia"/>
                <w:b/>
                <w:bCs/>
                <w:sz w:val="18"/>
                <w:szCs w:val="18"/>
              </w:rPr>
              <w:t>:</w:t>
            </w:r>
          </w:p>
          <w:p w14:paraId="75E4EEB8" w14:textId="54B17345" w:rsidR="00484193" w:rsidRDefault="0084594A" w:rsidP="00044B8B">
            <w:pPr>
              <w:spacing w:after="0" w:line="240" w:lineRule="auto"/>
              <w:ind w:right="99"/>
              <w:rPr>
                <w:rFonts w:ascii="Constantia" w:hAnsi="Constantia"/>
                <w:sz w:val="18"/>
                <w:szCs w:val="18"/>
              </w:rPr>
            </w:pPr>
            <w:r w:rsidRPr="0084594A">
              <w:rPr>
                <w:rFonts w:ascii="Constantia" w:hAnsi="Constantia"/>
                <w:sz w:val="18"/>
                <w:szCs w:val="18"/>
              </w:rPr>
              <w:t>Efektitas Hukum; Tilang Elektronik; Penegakan Hukum</w:t>
            </w:r>
            <w:r>
              <w:rPr>
                <w:rFonts w:ascii="Constantia" w:hAnsi="Constantia"/>
                <w:sz w:val="18"/>
                <w:szCs w:val="18"/>
              </w:rPr>
              <w:t>.</w:t>
            </w:r>
          </w:p>
          <w:p w14:paraId="0F79139C" w14:textId="77777777" w:rsidR="0084594A" w:rsidRPr="00871C92" w:rsidRDefault="0084594A" w:rsidP="00044B8B">
            <w:pPr>
              <w:spacing w:after="0" w:line="240" w:lineRule="auto"/>
              <w:ind w:right="99"/>
              <w:rPr>
                <w:rFonts w:ascii="Constantia" w:hAnsi="Constantia"/>
                <w:sz w:val="18"/>
                <w:szCs w:val="18"/>
              </w:rPr>
            </w:pPr>
          </w:p>
          <w:p w14:paraId="6AA6FBDB" w14:textId="46BBC6BE" w:rsidR="00484193" w:rsidRDefault="00863F2A" w:rsidP="00044B8B">
            <w:pPr>
              <w:spacing w:after="0" w:line="244" w:lineRule="auto"/>
              <w:ind w:right="99"/>
              <w:rPr>
                <w:rFonts w:ascii="Constantia" w:hAnsi="Constantia"/>
                <w:b/>
                <w:bCs/>
                <w:i/>
                <w:iCs/>
                <w:sz w:val="18"/>
                <w:szCs w:val="18"/>
              </w:rPr>
            </w:pPr>
            <w:r>
              <w:rPr>
                <w:rFonts w:ascii="Constantia" w:hAnsi="Constantia"/>
                <w:b/>
                <w:bCs/>
                <w:i/>
                <w:iCs/>
                <w:sz w:val="18"/>
                <w:szCs w:val="18"/>
              </w:rPr>
              <w:t>Sitasi</w:t>
            </w:r>
            <w:r w:rsidR="00484193" w:rsidRPr="00871C92">
              <w:rPr>
                <w:rFonts w:ascii="Constantia" w:hAnsi="Constantia"/>
                <w:b/>
                <w:bCs/>
                <w:i/>
                <w:iCs/>
                <w:sz w:val="18"/>
                <w:szCs w:val="18"/>
              </w:rPr>
              <w:t>:</w:t>
            </w:r>
          </w:p>
          <w:p w14:paraId="63869A01" w14:textId="2E956826" w:rsidR="002C7188" w:rsidRPr="00DD6E50" w:rsidRDefault="002C7188" w:rsidP="00044B8B">
            <w:pPr>
              <w:spacing w:after="0" w:line="244" w:lineRule="auto"/>
              <w:ind w:right="99"/>
              <w:rPr>
                <w:rFonts w:ascii="Constantia" w:hAnsi="Constantia"/>
                <w:i/>
                <w:iCs/>
                <w:sz w:val="18"/>
                <w:szCs w:val="18"/>
              </w:rPr>
            </w:pPr>
            <w:r>
              <w:rPr>
                <w:rFonts w:ascii="Constantia" w:hAnsi="Constantia"/>
                <w:i/>
                <w:iCs/>
                <w:sz w:val="18"/>
                <w:szCs w:val="18"/>
              </w:rPr>
              <w:t>Kelana, David Satria, ‘</w:t>
            </w:r>
            <w:r w:rsidRPr="002C7188">
              <w:rPr>
                <w:rFonts w:ascii="Constantia" w:hAnsi="Constantia"/>
                <w:i/>
                <w:iCs/>
                <w:sz w:val="18"/>
                <w:szCs w:val="18"/>
              </w:rPr>
              <w:t>Efektivitas Penggunaan Eletronic Traffic Law Enforcement Di Purwokerto</w:t>
            </w:r>
            <w:r>
              <w:rPr>
                <w:rFonts w:ascii="Constantia" w:hAnsi="Constantia"/>
                <w:i/>
                <w:iCs/>
                <w:sz w:val="18"/>
                <w:szCs w:val="18"/>
              </w:rPr>
              <w:t>’, Jurnal Kajian Hukum dan Sosial, 1,1 (2024), 1-11</w:t>
            </w:r>
          </w:p>
          <w:p w14:paraId="1036966A" w14:textId="77777777" w:rsidR="00484193" w:rsidRPr="00871C92" w:rsidRDefault="00484193" w:rsidP="00044B8B">
            <w:pPr>
              <w:spacing w:after="0" w:line="244" w:lineRule="auto"/>
              <w:ind w:right="99"/>
              <w:rPr>
                <w:rFonts w:ascii="Constantia" w:hAnsi="Constantia"/>
                <w:b/>
                <w:bCs/>
                <w:i/>
                <w:iCs/>
                <w:sz w:val="18"/>
                <w:szCs w:val="18"/>
              </w:rPr>
            </w:pPr>
          </w:p>
          <w:p w14:paraId="19350F0A" w14:textId="77777777" w:rsidR="00484193" w:rsidRPr="00871C92" w:rsidRDefault="00484193" w:rsidP="00044B8B">
            <w:pPr>
              <w:spacing w:after="0" w:line="244" w:lineRule="auto"/>
              <w:ind w:right="99"/>
              <w:rPr>
                <w:rFonts w:ascii="Constantia" w:hAnsi="Constantia"/>
                <w:i/>
                <w:iCs/>
                <w:szCs w:val="24"/>
              </w:rPr>
            </w:pPr>
          </w:p>
        </w:tc>
        <w:tc>
          <w:tcPr>
            <w:tcW w:w="400" w:type="dxa"/>
            <w:shd w:val="clear" w:color="auto" w:fill="EDEDED" w:themeFill="accent3" w:themeFillTint="33"/>
          </w:tcPr>
          <w:p w14:paraId="238EC4C2" w14:textId="77777777" w:rsidR="00484193" w:rsidRPr="00871C92" w:rsidRDefault="00484193" w:rsidP="00044B8B">
            <w:pPr>
              <w:spacing w:after="0"/>
              <w:rPr>
                <w:rFonts w:ascii="Constantia" w:hAnsi="Constantia"/>
                <w:i/>
                <w:iCs/>
              </w:rPr>
            </w:pPr>
          </w:p>
        </w:tc>
        <w:tc>
          <w:tcPr>
            <w:tcW w:w="5522" w:type="dxa"/>
            <w:shd w:val="clear" w:color="auto" w:fill="EDEDED" w:themeFill="accent3" w:themeFillTint="33"/>
          </w:tcPr>
          <w:p w14:paraId="63B8F41C" w14:textId="73532E79" w:rsidR="00863F2A" w:rsidRDefault="00B36CCE" w:rsidP="00B36CCE">
            <w:pPr>
              <w:spacing w:line="240" w:lineRule="auto"/>
              <w:jc w:val="both"/>
              <w:rPr>
                <w:rFonts w:ascii="Constantia" w:hAnsi="Constantia"/>
                <w:sz w:val="18"/>
                <w:szCs w:val="18"/>
              </w:rPr>
            </w:pPr>
            <w:r w:rsidRPr="00B36CCE">
              <w:rPr>
                <w:rFonts w:ascii="Constantia" w:hAnsi="Constantia"/>
                <w:sz w:val="18"/>
                <w:szCs w:val="18"/>
              </w:rPr>
              <w:t xml:space="preserve">Kesadaran untuk tertib berlalu lintas di masyarakat Indonesia secara umum masih belum begitu baik, meskipun proses penindakan pelanggaran lalu lintas telah mengadopsi tilang elektronik (ETLE). ETLE adalah digitalisasi proses </w:t>
            </w:r>
            <w:r w:rsidRPr="00B36CCE">
              <w:rPr>
                <w:rFonts w:ascii="Constantia" w:hAnsi="Constantia"/>
                <w:i/>
                <w:iCs/>
                <w:sz w:val="18"/>
                <w:szCs w:val="18"/>
              </w:rPr>
              <w:t>ticketing</w:t>
            </w:r>
            <w:r w:rsidRPr="00B36CCE">
              <w:rPr>
                <w:rFonts w:ascii="Constantia" w:hAnsi="Constantia"/>
                <w:sz w:val="18"/>
                <w:szCs w:val="18"/>
              </w:rPr>
              <w:t xml:space="preserve"> dengan memanfaatkan teknologi yang diharapkan lebih efisien dan efektif dalam pengelolaan administrasi. ETLE merupakan sistem penegakan hukum di bidang lalu lintas yang berbasis teknologi informasi dengan menggunakan perangkat elektronik berupa kamera yang dapat mendeteksi berbagai jenis pelanggaran lalu lintas dan menyajikan data kendaraan bermotor secara otomatis Automatic Number Plate Recognition (ANPR). Penelitian ini bertujuan untuk menganalisis konstruksi regulasi terkait ETLE dan efektifitas ETLE di Purwokerto. Penelitian ini menggunakan metode penelitian yuridis sosiologis dengan jenis penelitian kualitatif. Data primer didapat dari wawancara sedangkan data sekunder didapat dari studi kepustakaan. Hasil penelitian menunjukkan ETLE belum diatur secara spesifik dalam Undang-Undang Lalu Lintas dan Angkutan jalan beserta peraturan turunannya dan efektifitas penggunaannya di Purwokerto kurang efektif karena keterbatasan jumlah kamera ANPR dan rendahnya kesadaran masyarakat tentang ETLE dan penindakannya. Konstruksi regulasi ETLE saat ini menginduk pada Pasal 5 ayat (1) Undang-Undang Informasi dan Transaksi Elektronik mengatur tentang alat bukti pelanggaran lalu lintas secara elektronik. Penyelenggaraan ETLE di Kawasan Purwokerto belum signifikan mengurangi pelanggaran yang terjadi di jalan. Pemerintah melakukan revisi terhadap Undang-Undang Nomor 22 Tahun 2009 tentang Lalu Lintas dan Angkutan Jalan untuk dapat mengakomodir penggunaan ETLE. Penggunaan ETLE di Purwokerto dapat dioptimalkan dengan cara memfasilitasi ketersediaan jumlah sarana prasarana terutama Kamera ANPR dan sosialisasi berkelanjutan kepada masyarakat terkait prosedur ETLE dan penindakanya.</w:t>
            </w:r>
            <w:r w:rsidR="00863F2A" w:rsidRPr="00863F2A">
              <w:rPr>
                <w:rFonts w:ascii="Constantia" w:hAnsi="Constantia"/>
                <w:sz w:val="18"/>
                <w:szCs w:val="18"/>
              </w:rPr>
              <w:t>.</w:t>
            </w:r>
          </w:p>
          <w:p w14:paraId="3ADAD224" w14:textId="77777777" w:rsidR="00484193" w:rsidRPr="00DD6E50" w:rsidRDefault="00484193" w:rsidP="00B36CCE">
            <w:pPr>
              <w:spacing w:line="240" w:lineRule="auto"/>
              <w:jc w:val="both"/>
              <w:rPr>
                <w:rFonts w:ascii="Constantia" w:hAnsi="Constantia"/>
                <w:i/>
                <w:iCs/>
                <w:sz w:val="18"/>
                <w:szCs w:val="18"/>
              </w:rPr>
            </w:pPr>
          </w:p>
        </w:tc>
      </w:tr>
    </w:tbl>
    <w:p w14:paraId="1517457B" w14:textId="456A0291" w:rsidR="00484193" w:rsidRPr="00863F2A" w:rsidRDefault="00484193" w:rsidP="00484193">
      <w:pPr>
        <w:spacing w:before="360" w:after="0"/>
        <w:rPr>
          <w:rFonts w:ascii="Constantia" w:hAnsi="Constantia"/>
          <w:b/>
          <w:bCs/>
          <w:color w:val="44546A" w:themeColor="text2"/>
          <w:sz w:val="24"/>
          <w:szCs w:val="24"/>
        </w:rPr>
      </w:pPr>
      <w:r w:rsidRPr="00863F2A">
        <w:rPr>
          <w:rFonts w:ascii="Constantia" w:hAnsi="Constantia"/>
          <w:b/>
          <w:bCs/>
          <w:color w:val="44546A" w:themeColor="text2"/>
          <w:sz w:val="24"/>
          <w:szCs w:val="24"/>
        </w:rPr>
        <w:t>PENDAHULUAN</w:t>
      </w:r>
    </w:p>
    <w:p w14:paraId="53F2012E" w14:textId="6C3214F0" w:rsidR="00B36CCE" w:rsidRDefault="00B36CCE" w:rsidP="00B36CCE">
      <w:pPr>
        <w:spacing w:before="120" w:after="120"/>
        <w:jc w:val="both"/>
        <w:rPr>
          <w:rFonts w:ascii="Constantia" w:hAnsi="Constantia"/>
        </w:rPr>
      </w:pPr>
      <w:r w:rsidRPr="00B36CCE">
        <w:rPr>
          <w:rFonts w:ascii="Constantia" w:hAnsi="Constantia"/>
        </w:rPr>
        <w:t xml:space="preserve">Menurut Pasal 1 ayat (1) Undang-Undang No. 22 Tahun 2009 tentang Lalu Lintas dan Angkutan Jalan menyebutkan Lalu Lintas dan Angkutan Jalan adalah salah satu kesatuan sistem yang terdiri atas lalu lintas, angkutan jalan, jaringan lalu lintas dan angkutan jalan, prasarana lalu lintas dan angkutan jalan, kendaraan, pengemudi, pengguna jalan, serta pengelolaannya. Perbuatan yang menyimpang norma adalah jenis tindak pidana yang terdiri dari kesalahan dan pelanggaran ringan. Tilang merupakan bukti bahwa seseorang </w:t>
      </w:r>
      <w:r w:rsidRPr="00B36CCE">
        <w:rPr>
          <w:rFonts w:ascii="Constantia" w:hAnsi="Constantia"/>
        </w:rPr>
        <w:lastRenderedPageBreak/>
        <w:t>melakukan pelanggaran pada Undang-Undang No. 22 Tahun 2009 tentang Lalu Lintas dan Angkutan Jalan.</w:t>
      </w:r>
    </w:p>
    <w:p w14:paraId="0C534F93" w14:textId="65AB4477" w:rsidR="00B36CCE" w:rsidRDefault="00B36CCE" w:rsidP="00B36CCE">
      <w:pPr>
        <w:spacing w:before="120" w:after="120"/>
        <w:ind w:firstLine="567"/>
        <w:jc w:val="both"/>
        <w:rPr>
          <w:rFonts w:ascii="Constantia" w:hAnsi="Constantia"/>
        </w:rPr>
      </w:pPr>
      <w:r w:rsidRPr="00B36CCE">
        <w:rPr>
          <w:rFonts w:ascii="Constantia" w:hAnsi="Constantia"/>
        </w:rPr>
        <w:t>Operasi Patuh 2022 digelar selama dua pekan mulai Senin, 13 Juni 2022 sampai dengan Minggu, 26 Juni 2022, sebanyak 68.000 (kendaraan) ditindak pada hari ke-9 pelaksanaan Operasi Patuh 2022.</w:t>
      </w:r>
      <w:r w:rsidR="00A06ABC">
        <w:rPr>
          <w:rFonts w:ascii="Constantia" w:hAnsi="Constantia"/>
        </w:rPr>
        <w:t xml:space="preserve"> </w:t>
      </w:r>
      <w:r w:rsidRPr="00B36CCE">
        <w:rPr>
          <w:rFonts w:ascii="Constantia" w:hAnsi="Constantia"/>
        </w:rPr>
        <w:t>Data tersebut didapatkan dari 34 (Polda) jajaran di Indonesia dan menurut Kepala Biro Penerangan Masyarakat (Karo Penmas) Divisi Humas Polri, Brigjen Pol Ahmad Ramadhan terdapat penindakan pelanggaran lalu lintas 68.204 (pelanggar), dengan rincian 5.248 (pelanggar) ditindak dengan ETLE dan 62.956 (pelanggar) hanya mendapat teguran. Pada hari yang sama tercatat 156 (kecelakaan) lalu lintas terjadi yang menewaskan 13 (orang) dalam kecelakaan tersebut. Oleh karena itu diperlukan tilang untuk menghindari hal-hal yang tidak diinginkan karena ketidakpatuhan. Sasaran penegakan hukum dalam operasi ini yakni penggunaan knalpot bising, penggunaan rotator, aksi balap liar dan melawan arus serta jika ada pengguna pelat khusus akan dicek apakah haknya atau bukan.</w:t>
      </w:r>
      <w:r w:rsidR="00C40FD5">
        <w:rPr>
          <w:rStyle w:val="ReferensiCatatanKaki"/>
          <w:rFonts w:ascii="Constantia" w:hAnsi="Constantia"/>
        </w:rPr>
        <w:footnoteReference w:id="1"/>
      </w:r>
      <w:r>
        <w:rPr>
          <w:rFonts w:ascii="Constantia" w:hAnsi="Constantia"/>
        </w:rPr>
        <w:t xml:space="preserve"> </w:t>
      </w:r>
      <w:r w:rsidRPr="00B36CCE">
        <w:rPr>
          <w:rFonts w:ascii="Constantia" w:hAnsi="Constantia"/>
        </w:rPr>
        <w:t>Selain itu, Korlantas Polri juga ingin menurunkan angka pelanggaran dan angka fatalitas korban kecelakaan lalu lintas melalui operasi tersebut.</w:t>
      </w:r>
      <w:r w:rsidR="00C40FD5">
        <w:rPr>
          <w:rStyle w:val="ReferensiCatatanKaki"/>
          <w:rFonts w:ascii="Constantia" w:hAnsi="Constantia"/>
        </w:rPr>
        <w:footnoteReference w:id="2"/>
      </w:r>
    </w:p>
    <w:p w14:paraId="603B81C9" w14:textId="49C50BF9" w:rsidR="00C40FD5" w:rsidRPr="00F272F9" w:rsidRDefault="00C40FD5" w:rsidP="00555661">
      <w:pPr>
        <w:spacing w:before="120" w:after="120"/>
        <w:ind w:firstLine="567"/>
        <w:jc w:val="both"/>
        <w:rPr>
          <w:rFonts w:ascii="Constantia" w:hAnsi="Constantia"/>
        </w:rPr>
      </w:pPr>
      <w:r w:rsidRPr="00C40FD5">
        <w:rPr>
          <w:rFonts w:ascii="Constantia" w:hAnsi="Constantia"/>
          <w:i/>
          <w:iCs/>
        </w:rPr>
        <w:t>Electronic traffic law enforcement</w:t>
      </w:r>
      <w:r w:rsidRPr="00C40FD5">
        <w:rPr>
          <w:rFonts w:ascii="Constantia" w:hAnsi="Constantia"/>
        </w:rPr>
        <w:t xml:space="preserve"> merupakan program dari Korlantas Polri implementasi teknologi mencatat berbagai pelanggaran lalu lintas secara elektronik. Teknologi itu dianggap berguna mendukung keamanan, ketertiban, keselamatan dan ketertiban dalam lalu lintas.</w:t>
      </w:r>
      <w:r w:rsidR="00DB5DEA">
        <w:rPr>
          <w:rStyle w:val="ReferensiCatatanKaki"/>
          <w:rFonts w:ascii="Constantia" w:hAnsi="Constantia"/>
        </w:rPr>
        <w:footnoteReference w:id="3"/>
      </w:r>
      <w:r w:rsidR="00DB5DEA">
        <w:rPr>
          <w:rFonts w:ascii="Constantia" w:hAnsi="Constantia"/>
        </w:rPr>
        <w:t xml:space="preserve"> </w:t>
      </w:r>
      <w:r w:rsidRPr="00C40FD5">
        <w:rPr>
          <w:rFonts w:ascii="Constantia" w:hAnsi="Constantia"/>
        </w:rPr>
        <w:t xml:space="preserve">ETLE adalah digitalisasi proses </w:t>
      </w:r>
      <w:r w:rsidRPr="00DB5DEA">
        <w:rPr>
          <w:rFonts w:ascii="Constantia" w:hAnsi="Constantia"/>
          <w:i/>
          <w:iCs/>
        </w:rPr>
        <w:t>ticketing</w:t>
      </w:r>
      <w:r w:rsidRPr="00C40FD5">
        <w:rPr>
          <w:rFonts w:ascii="Constantia" w:hAnsi="Constantia"/>
        </w:rPr>
        <w:t xml:space="preserve"> dengan memanfaatkan teknologi yang diharapkan lebih efisien dan</w:t>
      </w:r>
      <w:r w:rsidR="00A06ABC">
        <w:rPr>
          <w:rFonts w:ascii="Constantia" w:hAnsi="Constantia"/>
        </w:rPr>
        <w:t xml:space="preserve"> </w:t>
      </w:r>
      <w:r w:rsidRPr="00C40FD5">
        <w:rPr>
          <w:rFonts w:ascii="Constantia" w:hAnsi="Constantia"/>
        </w:rPr>
        <w:t>efektif dalam seluruh proses ticketing serta membantu kepolisian dalam pengelolaan administrasi.</w:t>
      </w:r>
      <w:r w:rsidR="00DB5DEA">
        <w:rPr>
          <w:rStyle w:val="ReferensiCatatanKaki"/>
          <w:rFonts w:ascii="Constantia" w:hAnsi="Constantia"/>
        </w:rPr>
        <w:footnoteReference w:id="4"/>
      </w:r>
      <w:r w:rsidR="00A06ABC">
        <w:rPr>
          <w:rFonts w:ascii="Constantia" w:hAnsi="Constantia"/>
        </w:rPr>
        <w:t xml:space="preserve"> </w:t>
      </w:r>
      <w:r w:rsidRPr="00C40FD5">
        <w:rPr>
          <w:rFonts w:ascii="Constantia" w:hAnsi="Constantia"/>
        </w:rPr>
        <w:t>ETLE merupakan sistem penegakan hukum di bidang lalu lintas yang berbasis teknologi informasi dengan menggunakan perangkat elektronik berupa kamera yang dapat mendeteksi berbagai jenis pelanggaran lalu lintas dan menyajikan data kendaraan bermotor secara otomatis Automatic Number Plate Recognition (ANPR).</w:t>
      </w:r>
      <w:r w:rsidR="000E36B9">
        <w:rPr>
          <w:rStyle w:val="ReferensiCatatanKaki"/>
          <w:rFonts w:ascii="Constantia" w:hAnsi="Constantia"/>
        </w:rPr>
        <w:footnoteReference w:id="5"/>
      </w:r>
      <w:r w:rsidR="00A06ABC">
        <w:rPr>
          <w:rFonts w:ascii="Constantia" w:hAnsi="Constantia"/>
        </w:rPr>
        <w:t xml:space="preserve"> </w:t>
      </w:r>
      <w:r w:rsidRPr="00C40FD5">
        <w:rPr>
          <w:rFonts w:ascii="Constantia" w:hAnsi="Constantia"/>
        </w:rPr>
        <w:t>ETLE dikalangan masyarakat luas lebih dikenal dengan nama e-tilang atau tilang elektronik ini secara resmi diluncurkan pada tanggal 25 November 2018 oleh Ditlantas Polda Metro Jaya pada suatu acara peresmian yang saat itu dihadiri oleh Wakapolri Komjen Pol Drs. Ari Dono Sukmanto, SH. dan Menpan RB Komjen Pol (Pur) Drs. Syafruddin, M.Si di Bundaran HI.</w:t>
      </w:r>
      <w:r w:rsidR="00A06ABC">
        <w:rPr>
          <w:rFonts w:ascii="Constantia" w:hAnsi="Constantia"/>
        </w:rPr>
        <w:t xml:space="preserve"> </w:t>
      </w:r>
      <w:r w:rsidRPr="00C40FD5">
        <w:rPr>
          <w:rFonts w:ascii="Constantia" w:hAnsi="Constantia"/>
        </w:rPr>
        <w:t xml:space="preserve">Penelitian mengenai penggunaan ETLE sebelumya telah dilakukan beberapa kali, berikut disampaikan </w:t>
      </w:r>
      <w:r w:rsidRPr="00C40FD5">
        <w:rPr>
          <w:rFonts w:ascii="Constantia" w:hAnsi="Constantia"/>
        </w:rPr>
        <w:lastRenderedPageBreak/>
        <w:t>beberapa penelitian tersebut untuk memperlihatkan aspek pembeda diantara masing-masing penelitian.</w:t>
      </w:r>
      <w:r w:rsidR="00F90779">
        <w:rPr>
          <w:rFonts w:ascii="Constantia" w:hAnsi="Constantia"/>
        </w:rPr>
        <w:t xml:space="preserve"> </w:t>
      </w:r>
      <w:r w:rsidRPr="00C40FD5">
        <w:rPr>
          <w:rFonts w:ascii="Constantia" w:hAnsi="Constantia"/>
        </w:rPr>
        <w:t>Penelitian</w:t>
      </w:r>
      <w:r w:rsidR="00F90779">
        <w:rPr>
          <w:rFonts w:ascii="Constantia" w:hAnsi="Constantia"/>
        </w:rPr>
        <w:t xml:space="preserve"> </w:t>
      </w:r>
      <w:r w:rsidRPr="00C40FD5">
        <w:rPr>
          <w:rFonts w:ascii="Constantia" w:hAnsi="Constantia"/>
        </w:rPr>
        <w:t>pertama disusun oleh Setiyanto, Gunarto, dan Wahyuningsih pada tahun 2017 yang berjudul “Efektivitas Penerapan Sanksi Denda E-Tilang Bagi Pelanggar Lalu Lintas Berdasarkan Undang-Undang Nomor 22 Tahun 2009 Tentang Lalu Lintas Dan Angkutan Jalan (Studi Di Polres Rembang)” yang mendapat hasil bahwa ETLE memiliki pelayanan yang lebih cepat, sangat praktis an lebih terbuka.</w:t>
      </w:r>
      <w:r w:rsidR="00F90779">
        <w:rPr>
          <w:rStyle w:val="ReferensiCatatanKaki"/>
          <w:rFonts w:ascii="Constantia" w:hAnsi="Constantia"/>
        </w:rPr>
        <w:footnoteReference w:id="6"/>
      </w:r>
      <w:r w:rsidR="00A06ABC">
        <w:rPr>
          <w:rFonts w:ascii="Constantia" w:hAnsi="Constantia"/>
        </w:rPr>
        <w:t xml:space="preserve"> </w:t>
      </w:r>
      <w:r w:rsidRPr="00C40FD5">
        <w:rPr>
          <w:rFonts w:ascii="Constantia" w:hAnsi="Constantia"/>
        </w:rPr>
        <w:t>Peneliti kedua disusun oleh Fairuz Salsabila dan Indah Prabawati pada tahun 2018 yang berjudul “Inovasi Program Elektronik Tilang (E-TILANG) Dalam Meningkatkan Pelayanan Publik Di Kepolisian Resort (POLRES) KEDIRI” yang mendapat hasil bahwa inovasi ETLE di Polres Kediri dapat diterima oleh masyarakat.</w:t>
      </w:r>
      <w:r w:rsidR="00DD63C2">
        <w:rPr>
          <w:rStyle w:val="ReferensiCatatanKaki"/>
          <w:rFonts w:ascii="Constantia" w:hAnsi="Constantia"/>
        </w:rPr>
        <w:footnoteReference w:id="7"/>
      </w:r>
      <w:r w:rsidR="00DD63C2">
        <w:rPr>
          <w:rFonts w:ascii="Constantia" w:hAnsi="Constantia"/>
        </w:rPr>
        <w:t xml:space="preserve"> </w:t>
      </w:r>
      <w:r w:rsidRPr="00C40FD5">
        <w:rPr>
          <w:rFonts w:ascii="Constantia" w:hAnsi="Constantia"/>
        </w:rPr>
        <w:t>Berdasarkan penelitian sebelumnya, terdapat perbedaan fokus penelitian yang akan di lakukan dengan penelitian yang sudah ada. Penelitian ini sama-sama bertemakan ETLE, namun penulisan lebih menekankan indikator-indikator penghambat pada penggunaan ETLE dan keefektifan ETLE di Purwokerto. Purwokerto adalah ibukota dari kabupaten Banyumas sehingga banyak orang berdatangan ke Purwokerto untuk bersekolah, bekerja dan berbelanja kebutuhan sehari hari entah berasal dari dalam kabupaten Banyumas ataupun dari luar kabupaten Banyumas dan mulai tanggal 23 Maret 2021, polisi secara serentak menerapkan tilang elektronik di sejumlah wilayah di Indonesia.</w:t>
      </w:r>
      <w:r w:rsidR="00DD63C2">
        <w:rPr>
          <w:rStyle w:val="ReferensiCatatanKaki"/>
          <w:rFonts w:ascii="Constantia" w:hAnsi="Constantia"/>
        </w:rPr>
        <w:footnoteReference w:id="8"/>
      </w:r>
      <w:r w:rsidR="00DD63C2">
        <w:rPr>
          <w:rFonts w:ascii="Constantia" w:hAnsi="Constantia"/>
        </w:rPr>
        <w:t xml:space="preserve"> </w:t>
      </w:r>
      <w:r w:rsidRPr="00C40FD5">
        <w:rPr>
          <w:rFonts w:ascii="Constantia" w:hAnsi="Constantia"/>
        </w:rPr>
        <w:t xml:space="preserve">Berdasarkan latar belakang diatas, penulis tertarik untuk melakukan penelitian tentang “Efektifitas Penggunaan </w:t>
      </w:r>
      <w:r w:rsidRPr="00DD63C2">
        <w:rPr>
          <w:rFonts w:ascii="Constantia" w:hAnsi="Constantia"/>
          <w:i/>
          <w:iCs/>
        </w:rPr>
        <w:t>Eletronic Traffic Law Enforcement</w:t>
      </w:r>
      <w:r w:rsidRPr="00C40FD5">
        <w:rPr>
          <w:rFonts w:ascii="Constantia" w:hAnsi="Constantia"/>
        </w:rPr>
        <w:t xml:space="preserve"> Di Purwokerto”.</w:t>
      </w:r>
      <w:r w:rsidR="00DD63C2">
        <w:rPr>
          <w:rFonts w:ascii="Constantia" w:hAnsi="Constantia"/>
        </w:rPr>
        <w:t xml:space="preserve"> Dengan demikian, b</w:t>
      </w:r>
      <w:r w:rsidR="00DD63C2" w:rsidRPr="00DD63C2">
        <w:rPr>
          <w:rFonts w:ascii="Constantia" w:hAnsi="Constantia"/>
        </w:rPr>
        <w:t xml:space="preserve">erdasarkan latar belakang diatas, maka dapat dirumuskan permasalahan sebagai berikut </w:t>
      </w:r>
      <w:r w:rsidR="00DD63C2">
        <w:rPr>
          <w:rFonts w:ascii="Constantia" w:hAnsi="Constantia"/>
        </w:rPr>
        <w:t xml:space="preserve">a) </w:t>
      </w:r>
      <w:r w:rsidR="00DD63C2" w:rsidRPr="00DD63C2">
        <w:rPr>
          <w:rFonts w:ascii="Constantia" w:hAnsi="Constantia"/>
        </w:rPr>
        <w:t>Bagaimana Kerangka Hukum ETLE dalam penegakan lalu lintas?</w:t>
      </w:r>
      <w:r w:rsidR="00DD63C2">
        <w:rPr>
          <w:rFonts w:ascii="Constantia" w:hAnsi="Constantia"/>
        </w:rPr>
        <w:t xml:space="preserve"> b) </w:t>
      </w:r>
      <w:r w:rsidR="00DD63C2" w:rsidRPr="00DD63C2">
        <w:rPr>
          <w:rFonts w:ascii="Constantia" w:hAnsi="Constantia"/>
        </w:rPr>
        <w:t>Bagaimana efektivitas penerapan ETLE di Purwokerto?</w:t>
      </w:r>
    </w:p>
    <w:p w14:paraId="27270F5E" w14:textId="7CCEBF70" w:rsidR="00484193" w:rsidRPr="00863F2A" w:rsidRDefault="00484193" w:rsidP="00484193">
      <w:pPr>
        <w:spacing w:before="360" w:after="0"/>
        <w:rPr>
          <w:rFonts w:ascii="Constantia" w:hAnsi="Constantia"/>
          <w:b/>
          <w:bCs/>
          <w:color w:val="44546A" w:themeColor="text2"/>
          <w:sz w:val="24"/>
          <w:szCs w:val="24"/>
        </w:rPr>
      </w:pPr>
      <w:r w:rsidRPr="00863F2A">
        <w:rPr>
          <w:rFonts w:ascii="Constantia" w:hAnsi="Constantia"/>
          <w:b/>
          <w:bCs/>
          <w:color w:val="44546A" w:themeColor="text2"/>
          <w:sz w:val="24"/>
          <w:szCs w:val="24"/>
        </w:rPr>
        <w:t>METODE</w:t>
      </w:r>
    </w:p>
    <w:p w14:paraId="20854279" w14:textId="2040D508" w:rsidR="00484193" w:rsidRDefault="00A00380" w:rsidP="00A00380">
      <w:pPr>
        <w:spacing w:before="120" w:after="120"/>
        <w:jc w:val="both"/>
        <w:rPr>
          <w:rFonts w:ascii="Times New Roman" w:eastAsia="TimesNewRomanPSMT" w:hAnsi="Times New Roman"/>
          <w:sz w:val="24"/>
          <w:szCs w:val="24"/>
          <w:lang w:eastAsia="zh-CN"/>
        </w:rPr>
      </w:pPr>
      <w:r>
        <w:rPr>
          <w:rFonts w:ascii="Constantia" w:hAnsi="Constantia"/>
        </w:rPr>
        <w:t xml:space="preserve">Artikel ini merupakan hasil penelitian dengan metode </w:t>
      </w:r>
      <w:r w:rsidRPr="00A00380">
        <w:rPr>
          <w:rFonts w:ascii="Constantia" w:hAnsi="Constantia"/>
        </w:rPr>
        <w:t xml:space="preserve">pendekatan yuridis sosiologis atau </w:t>
      </w:r>
      <w:r w:rsidRPr="00A00380">
        <w:rPr>
          <w:rFonts w:ascii="Constantia" w:hAnsi="Constantia"/>
          <w:i/>
          <w:iCs/>
        </w:rPr>
        <w:t>socio legal research</w:t>
      </w:r>
      <w:r w:rsidRPr="00A00380">
        <w:rPr>
          <w:rFonts w:ascii="Constantia" w:hAnsi="Constantia"/>
        </w:rPr>
        <w:t>, yaitu cara atau prosedur yang digunakan untuk memecahkan masalah penelitian dengan meneliti data sekunder yang berupa bahan-bahan hukum atau peraturan-peraturan hukum yang berlaku kemudian dilanjutkan dengan mengadakan penelitian terhadap data primer di lapangan.</w:t>
      </w:r>
      <w:r w:rsidR="00B17075">
        <w:rPr>
          <w:rFonts w:ascii="Constantia" w:hAnsi="Constantia"/>
        </w:rPr>
        <w:t xml:space="preserve"> </w:t>
      </w:r>
      <w:r w:rsidR="00B17075" w:rsidRPr="00B17075">
        <w:rPr>
          <w:rFonts w:ascii="Constantia" w:hAnsi="Constantia"/>
        </w:rPr>
        <w:t>Penelitian ini mengambil lokasi di kawasan Purwokerto, Kabupaten Banyumas</w:t>
      </w:r>
      <w:r w:rsidR="00B17075">
        <w:rPr>
          <w:rFonts w:ascii="Constantia" w:hAnsi="Constantia"/>
        </w:rPr>
        <w:t xml:space="preserve"> </w:t>
      </w:r>
      <w:r w:rsidR="00B17075" w:rsidRPr="00B17075">
        <w:rPr>
          <w:rFonts w:ascii="Constantia" w:hAnsi="Constantia"/>
        </w:rPr>
        <w:t xml:space="preserve">dikarenakan berdasarkan hasil pra penelitian </w:t>
      </w:r>
      <w:r w:rsidR="00B17075">
        <w:rPr>
          <w:rFonts w:ascii="Constantia" w:hAnsi="Constantia"/>
        </w:rPr>
        <w:t xml:space="preserve">menemukan </w:t>
      </w:r>
      <w:r w:rsidR="00B17075" w:rsidRPr="00B17075">
        <w:rPr>
          <w:rFonts w:ascii="Constantia" w:hAnsi="Constantia"/>
        </w:rPr>
        <w:t>bahwa Banyumas belum memiliki sarana prasarana kamera lalu lintas dengan model ANPR</w:t>
      </w:r>
      <w:r w:rsidR="00B17075">
        <w:rPr>
          <w:rFonts w:ascii="Constantia" w:hAnsi="Constantia"/>
        </w:rPr>
        <w:t xml:space="preserve"> </w:t>
      </w:r>
      <w:r w:rsidR="00B17075">
        <w:rPr>
          <w:rFonts w:ascii="Times New Roman" w:eastAsia="TimesNewRomanPSMT" w:hAnsi="Times New Roman"/>
          <w:sz w:val="24"/>
          <w:szCs w:val="24"/>
          <w:lang w:eastAsia="zh-CN"/>
        </w:rPr>
        <w:t>yang dapat</w:t>
      </w:r>
      <w:r w:rsidR="00B17075" w:rsidRPr="00654601">
        <w:rPr>
          <w:rFonts w:ascii="Times New Roman" w:eastAsia="TimesNewRomanPSMT" w:hAnsi="Times New Roman"/>
          <w:sz w:val="24"/>
          <w:szCs w:val="24"/>
          <w:lang w:eastAsia="zh-CN"/>
        </w:rPr>
        <w:t xml:space="preserve"> mengidentifikasikan identitas kendaraan.</w:t>
      </w:r>
      <w:r w:rsidR="008A33CD">
        <w:rPr>
          <w:rFonts w:ascii="Times New Roman" w:eastAsia="TimesNewRomanPSMT" w:hAnsi="Times New Roman"/>
          <w:sz w:val="24"/>
          <w:szCs w:val="24"/>
          <w:lang w:eastAsia="zh-CN"/>
        </w:rPr>
        <w:t xml:space="preserve"> </w:t>
      </w:r>
      <w:r w:rsidR="008A33CD" w:rsidRPr="008A33CD">
        <w:rPr>
          <w:rFonts w:ascii="Times New Roman" w:eastAsia="TimesNewRomanPSMT" w:hAnsi="Times New Roman"/>
          <w:sz w:val="24"/>
          <w:szCs w:val="24"/>
          <w:lang w:eastAsia="zh-CN"/>
        </w:rPr>
        <w:t xml:space="preserve">Data primer dalam penelitian ini adalah keterangan yang disampaikan langsung oleh Staf tilang di Satlants Polresta Banyumas </w:t>
      </w:r>
      <w:r w:rsidR="008A33CD">
        <w:rPr>
          <w:rFonts w:ascii="Times New Roman" w:eastAsia="TimesNewRomanPSMT" w:hAnsi="Times New Roman"/>
          <w:sz w:val="24"/>
          <w:szCs w:val="24"/>
          <w:lang w:eastAsia="zh-CN"/>
        </w:rPr>
        <w:t xml:space="preserve">dan </w:t>
      </w:r>
      <w:r w:rsidR="008A33CD" w:rsidRPr="008A33CD">
        <w:rPr>
          <w:rFonts w:ascii="Times New Roman" w:eastAsia="TimesNewRomanPSMT" w:hAnsi="Times New Roman"/>
          <w:sz w:val="24"/>
          <w:szCs w:val="24"/>
          <w:lang w:eastAsia="zh-CN"/>
        </w:rPr>
        <w:t>seksi menejemen lalu lintas</w:t>
      </w:r>
      <w:r w:rsidR="004E5CED">
        <w:rPr>
          <w:rFonts w:ascii="Times New Roman" w:eastAsia="TimesNewRomanPSMT" w:hAnsi="Times New Roman"/>
          <w:sz w:val="24"/>
          <w:szCs w:val="24"/>
          <w:lang w:eastAsia="zh-CN"/>
        </w:rPr>
        <w:t xml:space="preserve"> </w:t>
      </w:r>
      <w:r w:rsidR="004E5CED" w:rsidRPr="004E5CED">
        <w:rPr>
          <w:rFonts w:ascii="Times New Roman" w:eastAsia="TimesNewRomanPSMT" w:hAnsi="Times New Roman"/>
          <w:sz w:val="24"/>
          <w:szCs w:val="24"/>
          <w:lang w:eastAsia="zh-CN"/>
        </w:rPr>
        <w:t>di Dinas Perhubungan Kabupaten Banyumas</w:t>
      </w:r>
      <w:r w:rsidR="008A33CD" w:rsidRPr="008A33CD">
        <w:rPr>
          <w:rFonts w:ascii="Times New Roman" w:eastAsia="TimesNewRomanPSMT" w:hAnsi="Times New Roman"/>
          <w:sz w:val="24"/>
          <w:szCs w:val="24"/>
          <w:lang w:eastAsia="zh-CN"/>
        </w:rPr>
        <w:t xml:space="preserve"> </w:t>
      </w:r>
      <w:r w:rsidR="008A33CD">
        <w:rPr>
          <w:rFonts w:ascii="Times New Roman" w:eastAsia="TimesNewRomanPSMT" w:hAnsi="Times New Roman"/>
          <w:sz w:val="24"/>
          <w:szCs w:val="24"/>
          <w:lang w:eastAsia="zh-CN"/>
        </w:rPr>
        <w:t xml:space="preserve">yang didapatkan melalui proses wawancara mendalam dengan metode </w:t>
      </w:r>
      <w:r w:rsidR="008A33CD">
        <w:rPr>
          <w:rFonts w:ascii="Times New Roman" w:eastAsia="TimesNewRomanPSMT" w:hAnsi="Times New Roman"/>
          <w:i/>
          <w:iCs/>
          <w:sz w:val="24"/>
          <w:szCs w:val="24"/>
          <w:lang w:eastAsia="zh-CN"/>
        </w:rPr>
        <w:t>snowball sampling</w:t>
      </w:r>
      <w:r w:rsidR="008A33CD" w:rsidRPr="008A33CD">
        <w:rPr>
          <w:rFonts w:ascii="Times New Roman" w:eastAsia="TimesNewRomanPSMT" w:hAnsi="Times New Roman"/>
          <w:sz w:val="24"/>
          <w:szCs w:val="24"/>
          <w:lang w:eastAsia="zh-CN"/>
        </w:rPr>
        <w:t>.</w:t>
      </w:r>
      <w:r w:rsidR="008A33CD">
        <w:rPr>
          <w:rFonts w:ascii="Times New Roman" w:eastAsia="TimesNewRomanPSMT" w:hAnsi="Times New Roman"/>
          <w:sz w:val="24"/>
          <w:szCs w:val="24"/>
          <w:lang w:eastAsia="zh-CN"/>
        </w:rPr>
        <w:t xml:space="preserve"> Data sekunder yang digunakan untuk mendukung data primer </w:t>
      </w:r>
      <w:r w:rsidR="008A33CD" w:rsidRPr="008A33CD">
        <w:rPr>
          <w:rFonts w:ascii="Times New Roman" w:eastAsia="TimesNewRomanPSMT" w:hAnsi="Times New Roman"/>
          <w:sz w:val="24"/>
          <w:szCs w:val="24"/>
          <w:lang w:eastAsia="zh-CN"/>
        </w:rPr>
        <w:t xml:space="preserve">meliputi bahan pustaka yang mencakup dokumen-dokumen resmi, buku-buku </w:t>
      </w:r>
      <w:r w:rsidR="008A33CD" w:rsidRPr="008A33CD">
        <w:rPr>
          <w:rFonts w:ascii="Times New Roman" w:eastAsia="TimesNewRomanPSMT" w:hAnsi="Times New Roman"/>
          <w:sz w:val="24"/>
          <w:szCs w:val="24"/>
          <w:lang w:eastAsia="zh-CN"/>
        </w:rPr>
        <w:lastRenderedPageBreak/>
        <w:t>perpustakaan, peraturan perundang-undangan, karya ilmiah, artikel-artikel, serta dokumen yang berkaitan dengan materi penelitian.</w:t>
      </w:r>
    </w:p>
    <w:p w14:paraId="3D86E33B" w14:textId="7774DC8B" w:rsidR="004E5CED" w:rsidRPr="00917FB5" w:rsidRDefault="004E5CED" w:rsidP="00F67F0F">
      <w:pPr>
        <w:spacing w:before="120" w:after="120"/>
        <w:ind w:firstLine="567"/>
        <w:jc w:val="both"/>
        <w:rPr>
          <w:rFonts w:ascii="Constantia" w:hAnsi="Constantia"/>
        </w:rPr>
      </w:pPr>
      <w:r w:rsidRPr="004E5CED">
        <w:rPr>
          <w:rFonts w:ascii="Times New Roman" w:eastAsia="TimesNewRomanPSMT" w:hAnsi="Times New Roman"/>
          <w:sz w:val="24"/>
          <w:szCs w:val="24"/>
          <w:lang w:eastAsia="zh-CN"/>
        </w:rPr>
        <w:t xml:space="preserve">Pemilihan subjek yang dijadikan informan </w:t>
      </w:r>
      <w:r>
        <w:rPr>
          <w:rFonts w:ascii="Times New Roman" w:eastAsia="TimesNewRomanPSMT" w:hAnsi="Times New Roman"/>
          <w:sz w:val="24"/>
          <w:szCs w:val="24"/>
          <w:lang w:eastAsia="zh-CN"/>
        </w:rPr>
        <w:t>telah</w:t>
      </w:r>
      <w:r w:rsidRPr="004E5CED">
        <w:rPr>
          <w:rFonts w:ascii="Times New Roman" w:eastAsia="TimesNewRomanPSMT" w:hAnsi="Times New Roman"/>
          <w:sz w:val="24"/>
          <w:szCs w:val="24"/>
          <w:lang w:eastAsia="zh-CN"/>
        </w:rPr>
        <w:t xml:space="preserve"> </w:t>
      </w:r>
      <w:r>
        <w:rPr>
          <w:rFonts w:ascii="Times New Roman" w:eastAsia="TimesNewRomanPSMT" w:hAnsi="Times New Roman"/>
          <w:sz w:val="24"/>
          <w:szCs w:val="24"/>
          <w:lang w:eastAsia="zh-CN"/>
        </w:rPr>
        <w:t>di</w:t>
      </w:r>
      <w:r w:rsidRPr="004E5CED">
        <w:rPr>
          <w:rFonts w:ascii="Times New Roman" w:eastAsia="TimesNewRomanPSMT" w:hAnsi="Times New Roman"/>
          <w:sz w:val="24"/>
          <w:szCs w:val="24"/>
          <w:lang w:eastAsia="zh-CN"/>
        </w:rPr>
        <w:t xml:space="preserve">pertimbangan </w:t>
      </w:r>
      <w:r>
        <w:rPr>
          <w:rFonts w:ascii="Times New Roman" w:eastAsia="TimesNewRomanPSMT" w:hAnsi="Times New Roman"/>
          <w:sz w:val="24"/>
          <w:szCs w:val="24"/>
          <w:lang w:eastAsia="zh-CN"/>
        </w:rPr>
        <w:t>dengan</w:t>
      </w:r>
      <w:r w:rsidRPr="004E5CED">
        <w:rPr>
          <w:rFonts w:ascii="Times New Roman" w:eastAsia="TimesNewRomanPSMT" w:hAnsi="Times New Roman"/>
          <w:sz w:val="24"/>
          <w:szCs w:val="24"/>
          <w:lang w:eastAsia="zh-CN"/>
        </w:rPr>
        <w:t xml:space="preserve"> rasional berdasarkan kebutuhan penelitian</w:t>
      </w:r>
      <w:r>
        <w:rPr>
          <w:rFonts w:ascii="Times New Roman" w:eastAsia="TimesNewRomanPSMT" w:hAnsi="Times New Roman"/>
          <w:sz w:val="24"/>
          <w:szCs w:val="24"/>
          <w:lang w:eastAsia="zh-CN"/>
        </w:rPr>
        <w:t xml:space="preserve">. </w:t>
      </w:r>
      <w:r w:rsidRPr="004E5CED">
        <w:rPr>
          <w:rFonts w:ascii="Times New Roman" w:eastAsia="TimesNewRomanPSMT" w:hAnsi="Times New Roman"/>
          <w:sz w:val="24"/>
          <w:szCs w:val="24"/>
          <w:lang w:eastAsia="zh-CN"/>
        </w:rPr>
        <w:t xml:space="preserve">Oleh </w:t>
      </w:r>
      <w:r>
        <w:rPr>
          <w:rFonts w:ascii="Times New Roman" w:eastAsia="TimesNewRomanPSMT" w:hAnsi="Times New Roman"/>
          <w:sz w:val="24"/>
          <w:szCs w:val="24"/>
          <w:lang w:eastAsia="zh-CN"/>
        </w:rPr>
        <w:t xml:space="preserve">karena </w:t>
      </w:r>
      <w:r w:rsidRPr="004E5CED">
        <w:rPr>
          <w:rFonts w:ascii="Times New Roman" w:eastAsia="TimesNewRomanPSMT" w:hAnsi="Times New Roman"/>
          <w:sz w:val="24"/>
          <w:szCs w:val="24"/>
          <w:lang w:eastAsia="zh-CN"/>
        </w:rPr>
        <w:t>penelitian ini termasuk kedalam studi pelaku, maka yang menjadi informan adalah mereka yang secara langsung terlibat sebagai pelaku</w:t>
      </w:r>
      <w:r>
        <w:rPr>
          <w:rFonts w:ascii="Times New Roman" w:eastAsia="TimesNewRomanPSMT" w:hAnsi="Times New Roman"/>
          <w:sz w:val="24"/>
          <w:szCs w:val="24"/>
          <w:lang w:eastAsia="zh-CN"/>
        </w:rPr>
        <w:t xml:space="preserve">. Dalam penelitian ini, Satlantas Polresta Banyumas dan </w:t>
      </w:r>
      <w:r w:rsidRPr="004E5CED">
        <w:rPr>
          <w:rFonts w:ascii="Times New Roman" w:eastAsia="TimesNewRomanPSMT" w:hAnsi="Times New Roman"/>
          <w:sz w:val="24"/>
          <w:szCs w:val="24"/>
          <w:lang w:eastAsia="zh-CN"/>
        </w:rPr>
        <w:t>Dinas Perhubungan Kabupaten Banyumas</w:t>
      </w:r>
      <w:r>
        <w:rPr>
          <w:rFonts w:ascii="Times New Roman" w:eastAsia="TimesNewRomanPSMT" w:hAnsi="Times New Roman"/>
          <w:sz w:val="24"/>
          <w:szCs w:val="24"/>
          <w:lang w:eastAsia="zh-CN"/>
        </w:rPr>
        <w:t xml:space="preserve"> dianggap memiliki relevansi dengan kebutuhan penelitian. Metode a</w:t>
      </w:r>
      <w:r w:rsidRPr="004E5CED">
        <w:rPr>
          <w:rFonts w:ascii="Times New Roman" w:eastAsia="TimesNewRomanPSMT" w:hAnsi="Times New Roman"/>
          <w:sz w:val="24"/>
          <w:szCs w:val="24"/>
          <w:lang w:eastAsia="zh-CN"/>
        </w:rPr>
        <w:t xml:space="preserve">nalisis </w:t>
      </w:r>
      <w:r>
        <w:rPr>
          <w:rFonts w:ascii="Times New Roman" w:eastAsia="TimesNewRomanPSMT" w:hAnsi="Times New Roman"/>
          <w:sz w:val="24"/>
          <w:szCs w:val="24"/>
          <w:lang w:eastAsia="zh-CN"/>
        </w:rPr>
        <w:t xml:space="preserve">data </w:t>
      </w:r>
      <w:r w:rsidRPr="004E5CED">
        <w:rPr>
          <w:rFonts w:ascii="Times New Roman" w:eastAsia="TimesNewRomanPSMT" w:hAnsi="Times New Roman"/>
          <w:sz w:val="24"/>
          <w:szCs w:val="24"/>
          <w:lang w:eastAsia="zh-CN"/>
        </w:rPr>
        <w:t>yang digunakan adalah analisis data kualitatif y</w:t>
      </w:r>
      <w:r w:rsidR="00917FB5">
        <w:rPr>
          <w:rFonts w:ascii="Times New Roman" w:eastAsia="TimesNewRomanPSMT" w:hAnsi="Times New Roman"/>
          <w:sz w:val="24"/>
          <w:szCs w:val="24"/>
          <w:lang w:eastAsia="zh-CN"/>
        </w:rPr>
        <w:t xml:space="preserve">ang berusaha mengelaborasikan data yang ada ke dalam suatu pemaknaan secara simbolik tertentu sehingga dapat disajikan dengan </w:t>
      </w:r>
      <w:r w:rsidR="00917FB5" w:rsidRPr="00654601">
        <w:rPr>
          <w:rFonts w:ascii="Times New Roman" w:hAnsi="Times New Roman"/>
          <w:sz w:val="24"/>
          <w:szCs w:val="24"/>
        </w:rPr>
        <w:t>uraian-uraian yang disusun secara sistematis, logis, dan rasional</w:t>
      </w:r>
      <w:r w:rsidR="00917FB5">
        <w:rPr>
          <w:rFonts w:ascii="Times New Roman" w:hAnsi="Times New Roman"/>
          <w:sz w:val="24"/>
          <w:szCs w:val="24"/>
        </w:rPr>
        <w:t xml:space="preserve">. </w:t>
      </w:r>
      <w:r w:rsidR="00917FB5" w:rsidRPr="00917FB5">
        <w:rPr>
          <w:rFonts w:ascii="Times New Roman" w:hAnsi="Times New Roman"/>
          <w:sz w:val="24"/>
          <w:szCs w:val="24"/>
        </w:rPr>
        <w:t>Keseluruhan data yang diperoleh</w:t>
      </w:r>
      <w:r w:rsidR="00917FB5">
        <w:rPr>
          <w:rFonts w:ascii="Times New Roman" w:hAnsi="Times New Roman"/>
          <w:sz w:val="24"/>
          <w:szCs w:val="24"/>
        </w:rPr>
        <w:t xml:space="preserve"> melalui wawancara dan studi kepustakaan</w:t>
      </w:r>
      <w:r w:rsidR="00917FB5" w:rsidRPr="00917FB5">
        <w:rPr>
          <w:rFonts w:ascii="Times New Roman" w:hAnsi="Times New Roman"/>
          <w:sz w:val="24"/>
          <w:szCs w:val="24"/>
        </w:rPr>
        <w:t xml:space="preserve"> dalam penelitian ini dihubungkan satu dengan yang lainnya</w:t>
      </w:r>
      <w:r w:rsidR="00917FB5">
        <w:rPr>
          <w:rFonts w:ascii="Times New Roman" w:hAnsi="Times New Roman"/>
          <w:sz w:val="24"/>
          <w:szCs w:val="24"/>
        </w:rPr>
        <w:t xml:space="preserve"> dan</w:t>
      </w:r>
      <w:r w:rsidR="00917FB5" w:rsidRPr="00917FB5">
        <w:rPr>
          <w:rFonts w:ascii="Times New Roman" w:hAnsi="Times New Roman"/>
          <w:sz w:val="24"/>
          <w:szCs w:val="24"/>
        </w:rPr>
        <w:t xml:space="preserve"> disesuaikan dengan pokok permasalahan yang diteli</w:t>
      </w:r>
      <w:r w:rsidR="00917FB5">
        <w:rPr>
          <w:rFonts w:ascii="Times New Roman" w:hAnsi="Times New Roman"/>
          <w:sz w:val="24"/>
          <w:szCs w:val="24"/>
        </w:rPr>
        <w:t>ti.</w:t>
      </w:r>
    </w:p>
    <w:p w14:paraId="6786E02B" w14:textId="232BC1E1" w:rsidR="00484193" w:rsidRPr="00863F2A" w:rsidRDefault="00484193" w:rsidP="00484193">
      <w:pPr>
        <w:spacing w:before="360" w:after="240"/>
        <w:rPr>
          <w:rFonts w:ascii="Constantia" w:hAnsi="Constantia"/>
          <w:b/>
          <w:bCs/>
          <w:color w:val="44546A" w:themeColor="text2"/>
          <w:sz w:val="24"/>
          <w:szCs w:val="24"/>
        </w:rPr>
      </w:pPr>
      <w:r w:rsidRPr="00863F2A">
        <w:rPr>
          <w:rFonts w:ascii="Constantia" w:hAnsi="Constantia"/>
          <w:b/>
          <w:bCs/>
          <w:color w:val="44546A" w:themeColor="text2"/>
          <w:sz w:val="24"/>
          <w:szCs w:val="24"/>
        </w:rPr>
        <w:t>PEMBAHASAN</w:t>
      </w:r>
    </w:p>
    <w:p w14:paraId="212283EE" w14:textId="2E3912E5" w:rsidR="00854631" w:rsidRPr="00854631" w:rsidRDefault="00FA1629" w:rsidP="00854631">
      <w:pPr>
        <w:pStyle w:val="DaftarParagraf"/>
        <w:numPr>
          <w:ilvl w:val="0"/>
          <w:numId w:val="8"/>
        </w:numPr>
        <w:spacing w:before="240" w:after="240"/>
        <w:ind w:left="567" w:hanging="567"/>
        <w:jc w:val="both"/>
        <w:rPr>
          <w:rFonts w:ascii="Constantia" w:hAnsi="Constantia"/>
          <w:b/>
          <w:bCs/>
          <w:color w:val="44546A" w:themeColor="text2"/>
          <w:szCs w:val="22"/>
        </w:rPr>
      </w:pPr>
      <w:r>
        <w:rPr>
          <w:rFonts w:ascii="Constantia" w:hAnsi="Constantia"/>
          <w:b/>
          <w:bCs/>
          <w:color w:val="44546A" w:themeColor="text2"/>
          <w:szCs w:val="22"/>
        </w:rPr>
        <w:t>Kerangka Hukum ELTE Dalam Penegakan Lalu Lintas</w:t>
      </w:r>
    </w:p>
    <w:p w14:paraId="656F4D0E" w14:textId="6F7967DE" w:rsidR="00854631" w:rsidRDefault="00854631" w:rsidP="00854631">
      <w:pPr>
        <w:spacing w:before="120" w:after="120"/>
        <w:jc w:val="both"/>
        <w:rPr>
          <w:rFonts w:ascii="Constantia" w:hAnsi="Constantia"/>
        </w:rPr>
      </w:pPr>
      <w:r w:rsidRPr="00FA1629">
        <w:rPr>
          <w:rFonts w:ascii="Constantia" w:hAnsi="Constantia"/>
        </w:rPr>
        <w:t>ETLE merupakan kebijakan publik di bidang penegakan lalu lintas, yang masih belum memiliki pengaturan yang lengkap. Kebijakan ETLE di Indonesia diatur secara sistematis dari mulai UU No. 2 Tahun 2002, Pasal 272 UU No. 22 Tahun 2009, Pasal 5 UU No.11 Tahun 2008, program Kapolri Tentang pelayanan yang promoter, dan program kerja masing-masing Kapolres.</w:t>
      </w:r>
      <w:r>
        <w:rPr>
          <w:rStyle w:val="ReferensiCatatanKaki"/>
          <w:rFonts w:ascii="Constantia" w:hAnsi="Constantia"/>
        </w:rPr>
        <w:footnoteReference w:id="9"/>
      </w:r>
      <w:r>
        <w:rPr>
          <w:rFonts w:ascii="Constantia" w:hAnsi="Constantia"/>
        </w:rPr>
        <w:t xml:space="preserve"> </w:t>
      </w:r>
      <w:r w:rsidRPr="00FA1629">
        <w:rPr>
          <w:rFonts w:ascii="Constantia" w:hAnsi="Constantia"/>
        </w:rPr>
        <w:t>Program kerja kepolisian dalam lalu lintas adalah mereduksi pelanggaran lalu lintas, Pelanggaran ini berkecenderungan mengakibatkan kemacetan dan kecelakaan lalu lintas, sehingga ETLE diharapkan mampu mencegah pokok permasalahan dari kemacetan dan kecelakaan tersebut.</w:t>
      </w:r>
      <w:r>
        <w:rPr>
          <w:rStyle w:val="ReferensiCatatanKaki"/>
          <w:rFonts w:ascii="Constantia" w:hAnsi="Constantia"/>
        </w:rPr>
        <w:footnoteReference w:id="10"/>
      </w:r>
      <w:r>
        <w:rPr>
          <w:rFonts w:ascii="Constantia" w:hAnsi="Constantia"/>
        </w:rPr>
        <w:t xml:space="preserve"> </w:t>
      </w:r>
      <w:r w:rsidRPr="00FA1629">
        <w:rPr>
          <w:rFonts w:ascii="Constantia" w:hAnsi="Constantia"/>
        </w:rPr>
        <w:t>Efektivitas penerapan ETLE apabila mengacu di wilayah hukum Polda Metro Jaya belum maksimal dalam menanggulangi pelanggaran lalu lintas karena kamera ETLE hanya dapat mendeteksi jenis-jenis pelanggaran tertentu.</w:t>
      </w:r>
      <w:r>
        <w:rPr>
          <w:rFonts w:ascii="Constantia" w:hAnsi="Constantia"/>
        </w:rPr>
        <w:t xml:space="preserve"> </w:t>
      </w:r>
      <w:r w:rsidRPr="00FA1629">
        <w:rPr>
          <w:rFonts w:ascii="Constantia" w:hAnsi="Constantia"/>
        </w:rPr>
        <w:t>Guna mengoptimalkan pengaturan terhadap pengguna alat transportasi yang semakin pesat dan karena perkembangan penggunaan alat transportasi berbanding terbalik dengan ketaatan dalam berlalu lintas menyebabkan semakin banyaknya pelanggaran terhadap lalu lintas, maka regulasi ETLE diperlukan. Dengan demikian, model pengaturan regulasi terkait ETLE di Indonesia belum dirumuskan secara sistematis.</w:t>
      </w:r>
      <w:r w:rsidR="00991E30">
        <w:rPr>
          <w:rFonts w:ascii="Constantia" w:hAnsi="Constantia"/>
        </w:rPr>
        <w:t xml:space="preserve"> </w:t>
      </w:r>
      <w:r w:rsidR="00991E30" w:rsidRPr="00991E30">
        <w:rPr>
          <w:rFonts w:ascii="Constantia" w:hAnsi="Constantia"/>
        </w:rPr>
        <w:t>Dengan demikian, model pengaturan regulasi terkait ETLE di Indonesia belum dirumuskan secara sistematis.</w:t>
      </w:r>
    </w:p>
    <w:p w14:paraId="55538AD0" w14:textId="77777777" w:rsidR="00991E30" w:rsidRDefault="00991E30" w:rsidP="00854631">
      <w:pPr>
        <w:spacing w:before="120" w:after="120"/>
        <w:jc w:val="both"/>
        <w:rPr>
          <w:rFonts w:ascii="Constantia" w:hAnsi="Constantia"/>
        </w:rPr>
      </w:pPr>
    </w:p>
    <w:p w14:paraId="256B2AE2" w14:textId="77777777" w:rsidR="00991E30" w:rsidRDefault="00991E30" w:rsidP="00854631">
      <w:pPr>
        <w:spacing w:before="120" w:after="120"/>
        <w:jc w:val="both"/>
        <w:rPr>
          <w:rFonts w:ascii="Constantia" w:hAnsi="Constantia"/>
        </w:rPr>
      </w:pPr>
    </w:p>
    <w:p w14:paraId="3B2C8142" w14:textId="77777777" w:rsidR="00991E30" w:rsidRDefault="00991E30" w:rsidP="00854631">
      <w:pPr>
        <w:spacing w:before="120" w:after="120"/>
        <w:jc w:val="both"/>
        <w:rPr>
          <w:rFonts w:ascii="Constantia" w:hAnsi="Constantia"/>
        </w:rPr>
      </w:pPr>
    </w:p>
    <w:p w14:paraId="5FDDE5D3" w14:textId="77777777" w:rsidR="00991E30" w:rsidRDefault="00991E30" w:rsidP="00854631">
      <w:pPr>
        <w:spacing w:before="120" w:after="120"/>
        <w:jc w:val="both"/>
        <w:rPr>
          <w:rFonts w:ascii="Constantia" w:hAnsi="Constantia"/>
        </w:rPr>
      </w:pPr>
    </w:p>
    <w:p w14:paraId="0A662A26" w14:textId="77025564" w:rsidR="00991E30" w:rsidRPr="00991E30" w:rsidRDefault="00991E30" w:rsidP="00991E30">
      <w:pPr>
        <w:spacing w:before="120" w:after="120"/>
        <w:jc w:val="center"/>
        <w:rPr>
          <w:rFonts w:ascii="Constantia" w:hAnsi="Constantia"/>
          <w:b/>
          <w:bCs/>
        </w:rPr>
      </w:pPr>
      <w:r>
        <w:rPr>
          <w:rFonts w:ascii="Constantia" w:hAnsi="Constantia"/>
          <w:b/>
          <w:bCs/>
        </w:rPr>
        <w:lastRenderedPageBreak/>
        <w:t>Bagan Pengaturan Regulasi terkait ETLE di Indonesia</w:t>
      </w:r>
    </w:p>
    <w:p w14:paraId="42F29FD9" w14:textId="2F92C435" w:rsidR="00991E30" w:rsidRDefault="006F1F87" w:rsidP="00854631">
      <w:pPr>
        <w:spacing w:before="120" w:after="120"/>
        <w:jc w:val="both"/>
        <w:rPr>
          <w:rFonts w:ascii="Constantia" w:hAnsi="Constantia"/>
        </w:rPr>
      </w:pPr>
      <w:r>
        <w:rPr>
          <w:rFonts w:ascii="Times New Roman" w:eastAsiaTheme="minorHAnsi" w:hAnsi="Times New Roman"/>
          <w:noProof/>
          <w:sz w:val="24"/>
          <w:szCs w:val="24"/>
          <w:lang w:val="en-US"/>
        </w:rPr>
        <mc:AlternateContent>
          <mc:Choice Requires="wpg">
            <w:drawing>
              <wp:anchor distT="0" distB="0" distL="114300" distR="114300" simplePos="0" relativeHeight="251665408" behindDoc="0" locked="0" layoutInCell="1" allowOverlap="1" wp14:anchorId="6B5E5130" wp14:editId="0B07011F">
                <wp:simplePos x="0" y="0"/>
                <wp:positionH relativeFrom="margin">
                  <wp:align>left</wp:align>
                </wp:positionH>
                <wp:positionV relativeFrom="paragraph">
                  <wp:posOffset>48895</wp:posOffset>
                </wp:positionV>
                <wp:extent cx="5353050" cy="3859530"/>
                <wp:effectExtent l="0" t="0" r="19050" b="26670"/>
                <wp:wrapNone/>
                <wp:docPr id="1339282945" name="Group 1339282945"/>
                <wp:cNvGraphicFramePr/>
                <a:graphic xmlns:a="http://schemas.openxmlformats.org/drawingml/2006/main">
                  <a:graphicData uri="http://schemas.microsoft.com/office/word/2010/wordprocessingGroup">
                    <wpg:wgp>
                      <wpg:cNvGrpSpPr/>
                      <wpg:grpSpPr>
                        <a:xfrm>
                          <a:off x="0" y="0"/>
                          <a:ext cx="5353050" cy="3859530"/>
                          <a:chOff x="0" y="0"/>
                          <a:chExt cx="5372100" cy="4295775"/>
                        </a:xfrm>
                      </wpg:grpSpPr>
                      <wps:wsp>
                        <wps:cNvPr id="1339282946" name="Straight Arrow Connector 1339282946"/>
                        <wps:cNvCnPr/>
                        <wps:spPr>
                          <a:xfrm flipH="1">
                            <a:off x="2714625" y="4000500"/>
                            <a:ext cx="16668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339282947" name="Rectangle: Rounded Corners 1339282947"/>
                        <wps:cNvSpPr/>
                        <wps:spPr>
                          <a:xfrm>
                            <a:off x="0" y="0"/>
                            <a:ext cx="2714625" cy="619125"/>
                          </a:xfrm>
                          <a:prstGeom prst="roundRect">
                            <a:avLst/>
                          </a:prstGeom>
                        </wps:spPr>
                        <wps:style>
                          <a:lnRef idx="2">
                            <a:schemeClr val="dk1"/>
                          </a:lnRef>
                          <a:fillRef idx="1">
                            <a:schemeClr val="lt1"/>
                          </a:fillRef>
                          <a:effectRef idx="0">
                            <a:schemeClr val="dk1"/>
                          </a:effectRef>
                          <a:fontRef idx="minor">
                            <a:schemeClr val="dk1"/>
                          </a:fontRef>
                        </wps:style>
                        <wps:txbx>
                          <w:txbxContent>
                            <w:p w14:paraId="65529DE9" w14:textId="77777777" w:rsidR="006F1F87" w:rsidRPr="000020DA" w:rsidRDefault="006F1F87" w:rsidP="006F1F87">
                              <w:pPr>
                                <w:jc w:val="center"/>
                                <w:rPr>
                                  <w:rFonts w:ascii="Constantia" w:hAnsi="Constantia"/>
                                  <w:sz w:val="20"/>
                                  <w:szCs w:val="24"/>
                                  <w:lang w:val="en-US"/>
                                </w:rPr>
                              </w:pPr>
                              <w:r w:rsidRPr="000020DA">
                                <w:rPr>
                                  <w:rFonts w:ascii="Constantia" w:hAnsi="Constantia"/>
                                  <w:szCs w:val="22"/>
                                  <w:lang w:val="en-US"/>
                                </w:rPr>
                                <w:t>Undang-Undang Lalu Lintas dan Angkutan Jalan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39282948" name="Rectangle: Rounded Corners 1339282948"/>
                        <wps:cNvSpPr/>
                        <wps:spPr>
                          <a:xfrm>
                            <a:off x="3324225" y="0"/>
                            <a:ext cx="2047875" cy="619125"/>
                          </a:xfrm>
                          <a:prstGeom prst="roundRect">
                            <a:avLst/>
                          </a:prstGeom>
                        </wps:spPr>
                        <wps:style>
                          <a:lnRef idx="2">
                            <a:schemeClr val="dk1"/>
                          </a:lnRef>
                          <a:fillRef idx="1">
                            <a:schemeClr val="lt1"/>
                          </a:fillRef>
                          <a:effectRef idx="0">
                            <a:schemeClr val="dk1"/>
                          </a:effectRef>
                          <a:fontRef idx="minor">
                            <a:schemeClr val="dk1"/>
                          </a:fontRef>
                        </wps:style>
                        <wps:txbx>
                          <w:txbxContent>
                            <w:p w14:paraId="2D80EB9B" w14:textId="77777777" w:rsidR="006F1F87" w:rsidRPr="000020DA" w:rsidRDefault="006F1F87" w:rsidP="006F1F87">
                              <w:pPr>
                                <w:jc w:val="center"/>
                                <w:rPr>
                                  <w:rFonts w:ascii="Constantia" w:hAnsi="Constantia"/>
                                  <w:sz w:val="20"/>
                                  <w:szCs w:val="24"/>
                                </w:rPr>
                              </w:pPr>
                              <w:r w:rsidRPr="000020DA">
                                <w:rPr>
                                  <w:rFonts w:ascii="Constantia" w:hAnsi="Constantia"/>
                                  <w:szCs w:val="22"/>
                                  <w:lang w:val="en-US"/>
                                </w:rPr>
                                <w:t>Undang-Undang Informasi dan Transasksi Elektronik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39282949" name="Rectangle: Rounded Corners 1339282949"/>
                        <wps:cNvSpPr/>
                        <wps:spPr>
                          <a:xfrm>
                            <a:off x="0" y="1133475"/>
                            <a:ext cx="2749139" cy="1071661"/>
                          </a:xfrm>
                          <a:prstGeom prst="roundRect">
                            <a:avLst/>
                          </a:prstGeom>
                        </wps:spPr>
                        <wps:style>
                          <a:lnRef idx="2">
                            <a:schemeClr val="dk1"/>
                          </a:lnRef>
                          <a:fillRef idx="1">
                            <a:schemeClr val="lt1"/>
                          </a:fillRef>
                          <a:effectRef idx="0">
                            <a:schemeClr val="dk1"/>
                          </a:effectRef>
                          <a:fontRef idx="minor">
                            <a:schemeClr val="dk1"/>
                          </a:fontRef>
                        </wps:style>
                        <wps:txbx>
                          <w:txbxContent>
                            <w:p w14:paraId="45DB6BBB" w14:textId="77777777" w:rsidR="006F1F87" w:rsidRPr="000020DA" w:rsidRDefault="006F1F87" w:rsidP="006F1F87">
                              <w:pPr>
                                <w:jc w:val="center"/>
                                <w:rPr>
                                  <w:rFonts w:ascii="Constantia" w:hAnsi="Constantia"/>
                                  <w:sz w:val="20"/>
                                  <w:szCs w:val="24"/>
                                </w:rPr>
                              </w:pPr>
                              <w:r w:rsidRPr="000020DA">
                                <w:rPr>
                                  <w:rFonts w:ascii="Constantia" w:hAnsi="Constantia"/>
                                  <w:szCs w:val="22"/>
                                  <w:lang w:val="en-US"/>
                                </w:rPr>
                                <w:t>Peraturan Pemerintah Nomor 80 Tahun 2012 tentang Tata Cara Pemeriksaan Kendaraan di Jalan dan Penindakan Pelanggaran Lalu Lintas Angkutan Jalan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39282950" name="Rectangle: Rounded Corners 1339282950"/>
                        <wps:cNvSpPr/>
                        <wps:spPr>
                          <a:xfrm>
                            <a:off x="0" y="3695700"/>
                            <a:ext cx="2714625" cy="600075"/>
                          </a:xfrm>
                          <a:prstGeom prst="roundRect">
                            <a:avLst/>
                          </a:prstGeom>
                        </wps:spPr>
                        <wps:style>
                          <a:lnRef idx="2">
                            <a:schemeClr val="dk1"/>
                          </a:lnRef>
                          <a:fillRef idx="1">
                            <a:schemeClr val="lt1"/>
                          </a:fillRef>
                          <a:effectRef idx="0">
                            <a:schemeClr val="dk1"/>
                          </a:effectRef>
                          <a:fontRef idx="minor">
                            <a:schemeClr val="dk1"/>
                          </a:fontRef>
                        </wps:style>
                        <wps:txbx>
                          <w:txbxContent>
                            <w:p w14:paraId="0DC0B748" w14:textId="26C2AED9" w:rsidR="006F1F87" w:rsidRPr="000020DA" w:rsidRDefault="006F1F87" w:rsidP="006F1F87">
                              <w:pPr>
                                <w:jc w:val="center"/>
                                <w:rPr>
                                  <w:rFonts w:ascii="Constantia" w:hAnsi="Constantia"/>
                                  <w:lang w:val="en-US"/>
                                </w:rPr>
                              </w:pPr>
                              <w:r w:rsidRPr="000020DA">
                                <w:rPr>
                                  <w:rFonts w:ascii="Constantia" w:hAnsi="Constantia"/>
                                  <w:lang w:val="en-US"/>
                                </w:rPr>
                                <w:t>Elektronic Trafic Law Enforcement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39282951" name="Straight Arrow Connector 1339282951"/>
                        <wps:cNvCnPr/>
                        <wps:spPr>
                          <a:xfrm>
                            <a:off x="2714625" y="295275"/>
                            <a:ext cx="609600" cy="0"/>
                          </a:xfrm>
                          <a:prstGeom prst="straightConnector1">
                            <a:avLst/>
                          </a:prstGeom>
                          <a:ln>
                            <a:headEnd type="triangle"/>
                            <a:tailEnd type="triangle"/>
                          </a:ln>
                        </wps:spPr>
                        <wps:style>
                          <a:lnRef idx="3">
                            <a:schemeClr val="dk1"/>
                          </a:lnRef>
                          <a:fillRef idx="0">
                            <a:schemeClr val="dk1"/>
                          </a:fillRef>
                          <a:effectRef idx="2">
                            <a:schemeClr val="dk1"/>
                          </a:effectRef>
                          <a:fontRef idx="minor">
                            <a:schemeClr val="tx1"/>
                          </a:fontRef>
                        </wps:style>
                        <wps:bodyPr/>
                      </wps:wsp>
                      <wps:wsp>
                        <wps:cNvPr id="1339282952" name="Straight Arrow Connector 1339282952"/>
                        <wps:cNvCnPr/>
                        <wps:spPr>
                          <a:xfrm>
                            <a:off x="1181100" y="619125"/>
                            <a:ext cx="0" cy="514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339282953" name="Straight Arrow Connector 1339282953"/>
                        <wps:cNvCnPr/>
                        <wps:spPr>
                          <a:xfrm>
                            <a:off x="1304925" y="2152650"/>
                            <a:ext cx="0" cy="3714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339282954" name="Straight Connector 1339282954"/>
                        <wps:cNvCnPr/>
                        <wps:spPr>
                          <a:xfrm>
                            <a:off x="4381500" y="619125"/>
                            <a:ext cx="0" cy="3381375"/>
                          </a:xfrm>
                          <a:prstGeom prst="line">
                            <a:avLst/>
                          </a:prstGeom>
                        </wps:spPr>
                        <wps:style>
                          <a:lnRef idx="3">
                            <a:schemeClr val="dk1"/>
                          </a:lnRef>
                          <a:fillRef idx="0">
                            <a:schemeClr val="dk1"/>
                          </a:fillRef>
                          <a:effectRef idx="2">
                            <a:schemeClr val="dk1"/>
                          </a:effectRef>
                          <a:fontRef idx="minor">
                            <a:schemeClr val="tx1"/>
                          </a:fontRef>
                        </wps:style>
                        <wps:bodyPr/>
                      </wps:wsp>
                      <wps:wsp>
                        <wps:cNvPr id="1339282955" name="Rectangle: Rounded Corners 1339282955"/>
                        <wps:cNvSpPr/>
                        <wps:spPr>
                          <a:xfrm>
                            <a:off x="0" y="2524125"/>
                            <a:ext cx="2714625" cy="800100"/>
                          </a:xfrm>
                          <a:prstGeom prst="roundRect">
                            <a:avLst/>
                          </a:prstGeom>
                        </wps:spPr>
                        <wps:style>
                          <a:lnRef idx="2">
                            <a:schemeClr val="dk1"/>
                          </a:lnRef>
                          <a:fillRef idx="1">
                            <a:schemeClr val="lt1"/>
                          </a:fillRef>
                          <a:effectRef idx="0">
                            <a:schemeClr val="dk1"/>
                          </a:effectRef>
                          <a:fontRef idx="minor">
                            <a:schemeClr val="dk1"/>
                          </a:fontRef>
                        </wps:style>
                        <wps:txbx>
                          <w:txbxContent>
                            <w:p w14:paraId="35441089" w14:textId="77777777" w:rsidR="006F1F87" w:rsidRPr="000020DA" w:rsidRDefault="006F1F87" w:rsidP="006F1F87">
                              <w:pPr>
                                <w:jc w:val="center"/>
                                <w:rPr>
                                  <w:rFonts w:ascii="Constantia" w:hAnsi="Constantia"/>
                                  <w:sz w:val="20"/>
                                  <w:szCs w:val="24"/>
                                </w:rPr>
                              </w:pPr>
                              <w:r w:rsidRPr="000020DA">
                                <w:rPr>
                                  <w:rFonts w:ascii="Constantia" w:hAnsi="Constantia"/>
                                  <w:szCs w:val="22"/>
                                  <w:lang w:val="en-US"/>
                                </w:rPr>
                                <w:t>Peraturan Kepolisian Negara Republik Indonesia Nomor 7 Tahun 2021 tentang Registrasi dan Identifikasi Kendaraan Bermotor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39282956" name="Straight Arrow Connector 1339282956"/>
                        <wps:cNvCnPr/>
                        <wps:spPr>
                          <a:xfrm>
                            <a:off x="1304925" y="3324225"/>
                            <a:ext cx="0" cy="3714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6B5E5130" id="Group 1339282945" o:spid="_x0000_s1026" style="position:absolute;left:0;text-align:left;margin-left:0;margin-top:3.85pt;width:421.5pt;height:303.9pt;z-index:251665408;mso-position-horizontal:left;mso-position-horizontal-relative:margin" coordsize="53721,42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sJFAUAADIjAAAOAAAAZHJzL2Uyb0RvYy54bWzsWttu4zYQfS/QfyD03liiLraMOAvDu5sW&#10;CLZBssU+MxJlC5VIlqJjp1/fISXK143lFE3rQi+yZF5EHp4zMxzq+sO6LNAzlVXO2cTxrlwHUZbw&#10;NGfzifPb188/jRxUKcJSUnBGJ84LrZwPNz/+cL0SY4r5ghcplQg6YdV4JSbOQikxHgyqZEFLUl1x&#10;QRkUZlyWRMGjnA9SSVbQe1kMsOtGgxWXqZA8oVUF/36sC50b03+W0UT9mmUVVaiYODA2Za7SXJ/0&#10;dXBzTcZzScQiT5phkDeMoiQ5g5e2XX0kiqClzA+6KvNE8opn6irh5YBnWZ5QMweYjefuzeZW8qUw&#10;c5mPV3PRwgTQ7uH05m6TL8+3UjyKewlIrMQcsDBPei7rTJb6F0aJ1gaylxYyulYogT9DP/TdEJBN&#10;oMwfhTE81qAmC0D+oF2y+NS2HGLPbVoGOA6Hw1C3HNgXD3aGsxJAkGqDQfX3MHhcEEENtNUYMLiX&#10;KE+Bv74f4xGOg8hBjJTA10clST5fKDSVkq/QjDMGnOISbVU1yJluZqzBsRpXAKkFEWVFLn6G7g1F&#10;Gjjx0AsiHDoIgAtcF0BsgLPQelEUjQATA60pa6EhYyErdUt5ifTNxKmaYbbjq19Fnu8qVWNqG+gx&#10;FUxfFcmLTyxF6kXARJXMCZsXtFkCXQUWwM7D3KmXgtbNH2gGeMHy+2ZGRq10Vkj0TEBn6e9e2wvU&#10;1E2yvCjaRu7rjZq6uhk1Cm4b4tcbtrXNGzlTbcMyZ1wea6zWdqhZXd/Oup6rnvYTT1/Mqho4gIJa&#10;J+/JxaHl4gMwz6zRGD3wJUtpCnyUDIzvho1DjbweH5C6VbVdRaus1yXdElNLOvJiD0i6rcsD8oGV&#10;YqkenEH4KOc6UOnE4hbsGJVqmu/xr1Dtota0O0KlExx8A5U2rP8uldT6ad0sT80qJHntkSqRfM5B&#10;yXekUvdEggsCwwhuFUoXXP7poBW4KJD5H0siqYOKXxjYv9gLAu3TzEMQDjE8yO2Sp+0StixnHNTp&#10;gUMWibnV9VVhbzPJy2/gTaf6rVBEWALvnjiJkvZhpmrXCf44odOpqQZ+TBB1xx5FYi2ctjVf19+I&#10;FI15UmDTvnBrc8l4jyN1Xb1KjE+Xime5MVob9TWq/BfEB+FL7Qi6iG90lvh8Hwe4cQB7ph+7wbA1&#10;/b0EwX90suYdJVi7ertWvRK3IoT/sBLjc5QY29U9ww16ENIFdQwKkUcTpeJhEHs+vFs7Q88dQlBm&#10;nYsNj21k1di63hvuxoCvekMjRWwXq5fiRUhRb/c6O0WofH5E6kewHdzfD+3GpbBj2tsv9nHp0S3O&#10;OU7Rt2vVK/EylAjBfMc8RWjcVrMz/E6eQkfgR7ITkJvB+34xcuPIJm/+gdzEgpL0eG6iz1to93oB&#10;eYsQd+dmGwFAuHaam5438kzmcCc/sYnZwD3paC30Ar/2Pn3eTCt7L0uy8QtvSHZcAv/87vxr/V43&#10;/vluEDcbd+yFOKpZdkBAHzK8p2KUPnEL4vyfEjA4IGCbnm8TtmFgQ65O1Av8kacPCvShwSYvdMg8&#10;qOafol6RM30CcpCN08cKNg1uDjF00FD1yX+T83/n5H8Ixz/dt1omT39m8h+HOGgy/Bsa7Wy1Ri6c&#10;TJ6I8fqkx7lJj1b3/VbrMrZa3Y+Ew+gsm+5thRP2TABSJhs1NvFsH07YU+cTR4XvFk6YLxTgwwzw&#10;ljtffmw/G0+6+dTl5i8AAAD//wMAUEsDBBQABgAIAAAAIQC8PS4x3QAAAAYBAAAPAAAAZHJzL2Rv&#10;d25yZXYueG1sTI9BS8NAFITvgv9heYI3u4k1bYl5KaWopyLYCuJtm7wmodm3IbtN0n/v86THYYaZ&#10;b7L1ZFs1UO8bxwjxLAJFXLiy4Qrh8/D6sALlg+HStI4J4Uoe1vntTWbS0o38QcM+VEpK2KcGoQ6h&#10;S7X2RU3W+JnriMU7ud6aILKvdNmbUcptqx+jaKGtaVgWatPRtqbivL9YhLfRjJt5/DLszqft9fuQ&#10;vH/tYkK8v5s2z6ACTeEvDL/4gg65MB3dhUuvWgQ5EhCWS1Birp7moo8IizhJQOeZ/o+f/wAAAP//&#10;AwBQSwECLQAUAAYACAAAACEAtoM4kv4AAADhAQAAEwAAAAAAAAAAAAAAAAAAAAAAW0NvbnRlbnRf&#10;VHlwZXNdLnhtbFBLAQItABQABgAIAAAAIQA4/SH/1gAAAJQBAAALAAAAAAAAAAAAAAAAAC8BAABf&#10;cmVscy8ucmVsc1BLAQItABQABgAIAAAAIQCjumsJFAUAADIjAAAOAAAAAAAAAAAAAAAAAC4CAABk&#10;cnMvZTJvRG9jLnhtbFBLAQItABQABgAIAAAAIQC8PS4x3QAAAAYBAAAPAAAAAAAAAAAAAAAAAG4H&#10;AABkcnMvZG93bnJldi54bWxQSwUGAAAAAAQABADzAAAAeAgAAAAA&#10;">
                <v:shapetype id="_x0000_t32" coordsize="21600,21600" o:spt="32" o:oned="t" path="m,l21600,21600e" filled="f">
                  <v:path arrowok="t" fillok="f" o:connecttype="none"/>
                  <o:lock v:ext="edit" shapetype="t"/>
                </v:shapetype>
                <v:shape id="Straight Arrow Connector 1339282946" o:spid="_x0000_s1027" type="#_x0000_t32" style="position:absolute;left:27146;top:40005;width:166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nAOygAAAOMAAAAPAAAAZHJzL2Rvd25yZXYueG1sRI/RasJA&#10;EEXfC/2HZYS+1Y1JkRhdpQiCUHww9gOG7DQJZmfT7KjJ33cLhT7O3Hvu3NnsRtepOw2h9WxgMU9A&#10;EVfetlwb+LwcXnNQQZAtdp7JwEQBdtvnpw0W1j/4TPdSahVDOBRooBHpC61D1ZDDMPc9cdS+/OBQ&#10;4jjU2g74iOGu02mSLLXDluOFBnvaN1Rdy5uLNU7nw3Q6Xr9vH+0kXZbvS1lMxrzMxvc1KKFR/s1/&#10;9NFGLstWaZ6u3pbw+1NcgN7+AAAA//8DAFBLAQItABQABgAIAAAAIQDb4fbL7gAAAIUBAAATAAAA&#10;AAAAAAAAAAAAAAAAAABbQ29udGVudF9UeXBlc10ueG1sUEsBAi0AFAAGAAgAAAAhAFr0LFu/AAAA&#10;FQEAAAsAAAAAAAAAAAAAAAAAHwEAAF9yZWxzLy5yZWxzUEsBAi0AFAAGAAgAAAAhAJkCcA7KAAAA&#10;4wAAAA8AAAAAAAAAAAAAAAAABwIAAGRycy9kb3ducmV2LnhtbFBLBQYAAAAAAwADALcAAAD+AgAA&#10;AAA=&#10;" strokecolor="black [3200]" strokeweight="1.5pt">
                  <v:stroke endarrow="block" joinstyle="miter"/>
                </v:shape>
                <v:roundrect id="Rectangle: Rounded Corners 1339282947" o:spid="_x0000_s1028" style="position:absolute;width:27146;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xCKyAAAAOMAAAAPAAAAZHJzL2Rvd25yZXYueG1sRE/da8Iw&#10;EH8f7H8IJ/g2U6tM7YwiG+ImyFj38Xw0Z9PZXEoTbfffm8Fgj/f7vuW6t7W4UOsrxwrGowQEceF0&#10;xaWCj/ft3RyED8gaa8ek4Ic8rFe3N0vMtOv4jS55KEUMYZ+hAhNCk0npC0MW/cg1xJE7utZiiGdb&#10;St1iF8NtLdMkuZcWK44NBht6NFSc8rNV8LVxu1d53h8+TyYP5vuFu6fxTqnhoN88gAjUh3/xn/tZ&#10;x/mTySKdp4vpDH5/igDI1RUAAP//AwBQSwECLQAUAAYACAAAACEA2+H2y+4AAACFAQAAEwAAAAAA&#10;AAAAAAAAAAAAAAAAW0NvbnRlbnRfVHlwZXNdLnhtbFBLAQItABQABgAIAAAAIQBa9CxbvwAAABUB&#10;AAALAAAAAAAAAAAAAAAAAB8BAABfcmVscy8ucmVsc1BLAQItABQABgAIAAAAIQD4IxCKyAAAAOMA&#10;AAAPAAAAAAAAAAAAAAAAAAcCAABkcnMvZG93bnJldi54bWxQSwUGAAAAAAMAAwC3AAAA/AIAAAAA&#10;" fillcolor="white [3201]" strokecolor="black [3200]" strokeweight="1pt">
                  <v:stroke joinstyle="miter"/>
                  <v:textbox>
                    <w:txbxContent>
                      <w:p w14:paraId="65529DE9" w14:textId="77777777" w:rsidR="006F1F87" w:rsidRPr="000020DA" w:rsidRDefault="006F1F87" w:rsidP="006F1F87">
                        <w:pPr>
                          <w:jc w:val="center"/>
                          <w:rPr>
                            <w:rFonts w:ascii="Constantia" w:hAnsi="Constantia"/>
                            <w:sz w:val="20"/>
                            <w:szCs w:val="24"/>
                            <w:lang w:val="en-US"/>
                          </w:rPr>
                        </w:pPr>
                        <w:r w:rsidRPr="000020DA">
                          <w:rPr>
                            <w:rFonts w:ascii="Constantia" w:hAnsi="Constantia"/>
                            <w:szCs w:val="22"/>
                            <w:lang w:val="en-US"/>
                          </w:rPr>
                          <w:t>Undang-Undang Lalu Lintas dan Angkutan Jalan</w:t>
                        </w:r>
                      </w:p>
                    </w:txbxContent>
                  </v:textbox>
                </v:roundrect>
                <v:roundrect id="Rectangle: Rounded Corners 1339282948" o:spid="_x0000_s1029" style="position:absolute;left:33242;width:20479;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IT4ywAAAOMAAAAPAAAAZHJzL2Rvd25yZXYueG1sRI9BS8NA&#10;EIXvgv9hGcGb3TQVaWO3pShSFYoYW89DdszGZmdDdtvEf+8cBI8z78173yzXo2/VmfrYBDYwnWSg&#10;iKtgG64N7D+ebuagYkK22AYmAz8UYb26vFhiYcPA73QuU60khGOBBlxKXaF1rBx5jJPQEYv2FXqP&#10;Sca+1rbHQcJ9q/Msu9MeG5YGhx09OKqO5ckb+NyE7Zs+ve4OR1cm9/3Cw+N0a8z11bi5B5VoTP/m&#10;v+tnK/iz2SKf54tbgZafZAF69QsAAP//AwBQSwECLQAUAAYACAAAACEA2+H2y+4AAACFAQAAEwAA&#10;AAAAAAAAAAAAAAAAAAAAW0NvbnRlbnRfVHlwZXNdLnhtbFBLAQItABQABgAIAAAAIQBa9CxbvwAA&#10;ABUBAAALAAAAAAAAAAAAAAAAAB8BAABfcmVscy8ucmVsc1BLAQItABQABgAIAAAAIQCJvIT4ywAA&#10;AOMAAAAPAAAAAAAAAAAAAAAAAAcCAABkcnMvZG93bnJldi54bWxQSwUGAAAAAAMAAwC3AAAA/wIA&#10;AAAA&#10;" fillcolor="white [3201]" strokecolor="black [3200]" strokeweight="1pt">
                  <v:stroke joinstyle="miter"/>
                  <v:textbox>
                    <w:txbxContent>
                      <w:p w14:paraId="2D80EB9B" w14:textId="77777777" w:rsidR="006F1F87" w:rsidRPr="000020DA" w:rsidRDefault="006F1F87" w:rsidP="006F1F87">
                        <w:pPr>
                          <w:jc w:val="center"/>
                          <w:rPr>
                            <w:rFonts w:ascii="Constantia" w:hAnsi="Constantia"/>
                            <w:sz w:val="20"/>
                            <w:szCs w:val="24"/>
                          </w:rPr>
                        </w:pPr>
                        <w:r w:rsidRPr="000020DA">
                          <w:rPr>
                            <w:rFonts w:ascii="Constantia" w:hAnsi="Constantia"/>
                            <w:szCs w:val="22"/>
                            <w:lang w:val="en-US"/>
                          </w:rPr>
                          <w:t>Undang-Undang Informasi dan Transasksi Elektronik</w:t>
                        </w:r>
                      </w:p>
                    </w:txbxContent>
                  </v:textbox>
                </v:roundrect>
                <v:roundrect id="Rectangle: Rounded Corners 1339282949" o:spid="_x0000_s1030" style="position:absolute;top:11334;width:27491;height:107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CFjyAAAAOMAAAAPAAAAZHJzL2Rvd25yZXYueG1sRE/dS8Mw&#10;EH8X/B/CCb65dJ3I2i0bQ5GpIGPdx/PR3Jq65lKabK3/vREEH+/3ffPlYBtxpc7XjhWMRwkI4tLp&#10;misF+93rwxSED8gaG8ek4Js8LBe3N3PMtet5S9ciVCKGsM9RgQmhzaX0pSGLfuRa4sidXGcxxLOr&#10;pO6wj+G2kWmSPEmLNccGgy09GyrPxcUqOK7ceiMvH5+HsymC+Xrn/mW8Vur+bljNQAQawr/4z/2m&#10;4/zJJEunafaYwe9PEQC5+AEAAP//AwBQSwECLQAUAAYACAAAACEA2+H2y+4AAACFAQAAEwAAAAAA&#10;AAAAAAAAAAAAAAAAW0NvbnRlbnRfVHlwZXNdLnhtbFBLAQItABQABgAIAAAAIQBa9CxbvwAAABUB&#10;AAALAAAAAAAAAAAAAAAAAB8BAABfcmVscy8ucmVsc1BLAQItABQABgAIAAAAIQDm8CFjyAAAAOMA&#10;AAAPAAAAAAAAAAAAAAAAAAcCAABkcnMvZG93bnJldi54bWxQSwUGAAAAAAMAAwC3AAAA/AIAAAAA&#10;" fillcolor="white [3201]" strokecolor="black [3200]" strokeweight="1pt">
                  <v:stroke joinstyle="miter"/>
                  <v:textbox>
                    <w:txbxContent>
                      <w:p w14:paraId="45DB6BBB" w14:textId="77777777" w:rsidR="006F1F87" w:rsidRPr="000020DA" w:rsidRDefault="006F1F87" w:rsidP="006F1F87">
                        <w:pPr>
                          <w:jc w:val="center"/>
                          <w:rPr>
                            <w:rFonts w:ascii="Constantia" w:hAnsi="Constantia"/>
                            <w:sz w:val="20"/>
                            <w:szCs w:val="24"/>
                          </w:rPr>
                        </w:pPr>
                        <w:r w:rsidRPr="000020DA">
                          <w:rPr>
                            <w:rFonts w:ascii="Constantia" w:hAnsi="Constantia"/>
                            <w:szCs w:val="22"/>
                            <w:lang w:val="en-US"/>
                          </w:rPr>
                          <w:t>Peraturan Pemerintah Nomor 80 Tahun 2012 tentang Tata Cara Pemeriksaan Kendaraan di Jalan dan Penindakan Pelanggaran Lalu Lintas Angkutan Jalan</w:t>
                        </w:r>
                      </w:p>
                    </w:txbxContent>
                  </v:textbox>
                </v:roundrect>
                <v:roundrect id="Rectangle: Rounded Corners 1339282950" o:spid="_x0000_s1031" style="position:absolute;top:36957;width:27146;height:6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4jywAAAOMAAAAPAAAAZHJzL2Rvd25yZXYueG1sRI9BS8NA&#10;EIXvgv9hGcGb3TRFaWO3pShSFYoYW89DdszGZmdDdtvEf+8cBI8z8+a99y3Xo2/VmfrYBDYwnWSg&#10;iKtgG64N7D+ebuagYkK22AYmAz8UYb26vFhiYcPA73QuU63EhGOBBlxKXaF1rBx5jJPQEcvtK/Qe&#10;k4x9rW2Pg5j7VudZdqc9NiwJDjt6cFQdy5M38LkJ2zd9et0djq5M7vuFh8fp1pjrq3FzDyrRmP7F&#10;f9/PVurPZot8ni9uhUKYZAF69QsAAP//AwBQSwECLQAUAAYACAAAACEA2+H2y+4AAACFAQAAEwAA&#10;AAAAAAAAAAAAAAAAAAAAW0NvbnRlbnRfVHlwZXNdLnhtbFBLAQItABQABgAIAAAAIQBa9CxbvwAA&#10;ABUBAAALAAAAAAAAAAAAAAAAAB8BAABfcmVscy8ucmVsc1BLAQItABQABgAIAAAAIQDyEx4jywAA&#10;AOMAAAAPAAAAAAAAAAAAAAAAAAcCAABkcnMvZG93bnJldi54bWxQSwUGAAAAAAMAAwC3AAAA/wIA&#10;AAAA&#10;" fillcolor="white [3201]" strokecolor="black [3200]" strokeweight="1pt">
                  <v:stroke joinstyle="miter"/>
                  <v:textbox>
                    <w:txbxContent>
                      <w:p w14:paraId="0DC0B748" w14:textId="26C2AED9" w:rsidR="006F1F87" w:rsidRPr="000020DA" w:rsidRDefault="006F1F87" w:rsidP="006F1F87">
                        <w:pPr>
                          <w:jc w:val="center"/>
                          <w:rPr>
                            <w:rFonts w:ascii="Constantia" w:hAnsi="Constantia"/>
                            <w:lang w:val="en-US"/>
                          </w:rPr>
                        </w:pPr>
                        <w:r w:rsidRPr="000020DA">
                          <w:rPr>
                            <w:rFonts w:ascii="Constantia" w:hAnsi="Constantia"/>
                            <w:lang w:val="en-US"/>
                          </w:rPr>
                          <w:t>Elektronic Trafic Law Enforcement</w:t>
                        </w:r>
                      </w:p>
                    </w:txbxContent>
                  </v:textbox>
                </v:roundrect>
                <v:shape id="Straight Arrow Connector 1339282951" o:spid="_x0000_s1032" type="#_x0000_t32" style="position:absolute;left:27146;top:2952;width:6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ywyAAAAOMAAAAPAAAAZHJzL2Rvd25yZXYueG1sRE/NasJA&#10;EL4XfIdlCt50Y2xFo6uotCB6kGrqechOk2B2NmRXjX16tyD0ON//zBatqcSVGldaVjDoRyCIM6tL&#10;zhWkx8/eGITzyBory6TgTg4W887LDBNtb/xF14PPRQhhl6CCwvs6kdJlBRl0fVsTB+7HNgZ9OJtc&#10;6gZvIdxUMo6ikTRYcmgosKZ1Qdn5cDEKzJte7T5+9/H3cntcn9JNer9UkVLd13Y5BeGp9f/ip3uj&#10;w/zhcBKP48n7AP5+CgDI+QMAAP//AwBQSwECLQAUAAYACAAAACEA2+H2y+4AAACFAQAAEwAAAAAA&#10;AAAAAAAAAAAAAAAAW0NvbnRlbnRfVHlwZXNdLnhtbFBLAQItABQABgAIAAAAIQBa9CxbvwAAABUB&#10;AAALAAAAAAAAAAAAAAAAAB8BAABfcmVscy8ucmVsc1BLAQItABQABgAIAAAAIQBamYywyAAAAOMA&#10;AAAPAAAAAAAAAAAAAAAAAAcCAABkcnMvZG93bnJldi54bWxQSwUGAAAAAAMAAwC3AAAA/AIAAAAA&#10;" strokecolor="black [3200]" strokeweight="1.5pt">
                  <v:stroke startarrow="block" endarrow="block" joinstyle="miter"/>
                </v:shape>
                <v:shape id="Straight Arrow Connector 1339282952" o:spid="_x0000_s1033" type="#_x0000_t32" style="position:absolute;left:11811;top:6191;width:0;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juuyQAAAOMAAAAPAAAAZHJzL2Rvd25yZXYueG1sRE9La8JA&#10;EL4L/odlCr3pphFFU1cRpWjFQ32gPQ7ZMYlmZ0N2q+m/dwtCj/O9ZzxtTCluVLvCsoK3bgSCOLW6&#10;4EzBYf/RGYJwHlljaZkU/JKD6aTdGmOi7Z23dNv5TIQQdgkqyL2vEildmpNB17UVceDOtjbow1ln&#10;Utd4D+GmlHEUDaTBgkNDjhXNc0qvux+jYPP9tTyu+4uCT6m+rsrt5fPMC6VeX5rZOwhPjf8XP90r&#10;Heb3eqN4GI/6Mfz9FACQkwcAAAD//wMAUEsBAi0AFAAGAAgAAAAhANvh9svuAAAAhQEAABMAAAAA&#10;AAAAAAAAAAAAAAAAAFtDb250ZW50X1R5cGVzXS54bWxQSwECLQAUAAYACAAAACEAWvQsW78AAAAV&#10;AQAACwAAAAAAAAAAAAAAAAAfAQAAX3JlbHMvLnJlbHNQSwECLQAUAAYACAAAACEAGlY7rskAAADj&#10;AAAADwAAAAAAAAAAAAAAAAAHAgAAZHJzL2Rvd25yZXYueG1sUEsFBgAAAAADAAMAtwAAAP0CAAAA&#10;AA==&#10;" strokecolor="black [3200]" strokeweight="1.5pt">
                  <v:stroke endarrow="block" joinstyle="miter"/>
                </v:shape>
                <v:shape id="Straight Arrow Connector 1339282953" o:spid="_x0000_s1034" type="#_x0000_t32" style="position:absolute;left:13049;top:21526;width:0;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p41yQAAAOMAAAAPAAAAZHJzL2Rvd25yZXYueG1sRE9La8JA&#10;EL4X/A/LCN7qxgSLpq5SKqItPfhCexyyYxLNzobsVtN/7xYKHud7z2TWmkpcqXGlZQWDfgSCOLO6&#10;5FzBfrd4HoFwHlljZZkU/JKD2bTzNMFU2xtv6Lr1uQgh7FJUUHhfp1K6rCCDrm9r4sCdbGPQh7PJ&#10;pW7wFsJNJeMoepEGSw4NBdb0XlB22f4YBV/f6+Xhczgv+Zjpy6ranD9OPFeq123fXkF4av1D/O9e&#10;6TA/ScbxKB4PE/j7KQAgp3cAAAD//wMAUEsBAi0AFAAGAAgAAAAhANvh9svuAAAAhQEAABMAAAAA&#10;AAAAAAAAAAAAAAAAAFtDb250ZW50X1R5cGVzXS54bWxQSwECLQAUAAYACAAAACEAWvQsW78AAAAV&#10;AQAACwAAAAAAAAAAAAAAAAAfAQAAX3JlbHMvLnJlbHNQSwECLQAUAAYACAAAACEAdRqeNckAAADj&#10;AAAADwAAAAAAAAAAAAAAAAAHAgAAZHJzL2Rvd25yZXYueG1sUEsFBgAAAAADAAMAtwAAAP0CAAAA&#10;AA==&#10;" strokecolor="black [3200]" strokeweight="1.5pt">
                  <v:stroke endarrow="block" joinstyle="miter"/>
                </v:shape>
                <v:line id="Straight Connector 1339282954" o:spid="_x0000_s1035" style="position:absolute;visibility:visible;mso-wrap-style:square" from="43815,6191" to="43815,4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xCdywAAAOMAAAAPAAAAZHJzL2Rvd25yZXYueG1sRE9fa8Iw&#10;EH8f7DuEG+xtptZtaGcUkQnKwDEr23w7mltb1lxqk9nqpzfCwMf7/b/xtDOVOFDjSssK+r0IBHFm&#10;dcm5gm26eBiCcB5ZY2WZFBzJwXRyezPGRNuWP+iw8bkIIewSVFB4XydSuqwgg65na+LA/djGoA9n&#10;k0vdYBvCTSXjKHqWBksODQXWNC8o+938GQXt5z5dv0WrL/39mi53u+PpveqnSt3fdbMXEJ46fxX/&#10;u5c6zB8MRvEwHj09wuWnAICcnAEAAP//AwBQSwECLQAUAAYACAAAACEA2+H2y+4AAACFAQAAEwAA&#10;AAAAAAAAAAAAAAAAAAAAW0NvbnRlbnRfVHlwZXNdLnhtbFBLAQItABQABgAIAAAAIQBa9CxbvwAA&#10;ABUBAAALAAAAAAAAAAAAAAAAAB8BAABfcmVscy8ucmVsc1BLAQItABQABgAIAAAAIQDD8xCdywAA&#10;AOMAAAAPAAAAAAAAAAAAAAAAAAcCAABkcnMvZG93bnJldi54bWxQSwUGAAAAAAMAAwC3AAAA/wIA&#10;AAAA&#10;" strokecolor="black [3200]" strokeweight="1.5pt">
                  <v:stroke joinstyle="miter"/>
                </v:line>
                <v:roundrect id="Rectangle: Rounded Corners 1339282955" o:spid="_x0000_s1036" style="position:absolute;top:25241;width:27146;height:8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27yAAAAOMAAAAPAAAAZHJzL2Rvd25yZXYueG1sRE/dS8Mw&#10;EH8f+D+EE3zb0nZMtrp0DEW2CUOsH89HczZ1zaU02Vr/eyMIPt7v+9ab0bbiQr1vHCtIZwkI4srp&#10;hmsFb6+P0yUIH5A1to5JwTd52BRXkzXm2g38Qpcy1CKGsM9RgQmhy6X0lSGLfuY64sh9ut5iiGdf&#10;S93jEMNtK7MkuZUWG44NBju6N1SdyrNV8LF1u2d5fjq+n0wZzNeBh4d0p9TN9bi9AxFoDP/iP/de&#10;x/nz+SpbZqvFAn5/igDI4gcAAP//AwBQSwECLQAUAAYACAAAACEA2+H2y+4AAACFAQAAEwAAAAAA&#10;AAAAAAAAAAAAAAAAW0NvbnRlbnRfVHlwZXNdLnhtbFBLAQItABQABgAIAAAAIQBa9CxbvwAAABUB&#10;AAALAAAAAAAAAAAAAAAAAB8BAABfcmVscy8ucmVsc1BLAQItABQABgAIAAAAIQDiZL27yAAAAOMA&#10;AAAPAAAAAAAAAAAAAAAAAAcCAABkcnMvZG93bnJldi54bWxQSwUGAAAAAAMAAwC3AAAA/AIAAAAA&#10;" fillcolor="white [3201]" strokecolor="black [3200]" strokeweight="1pt">
                  <v:stroke joinstyle="miter"/>
                  <v:textbox>
                    <w:txbxContent>
                      <w:p w14:paraId="35441089" w14:textId="77777777" w:rsidR="006F1F87" w:rsidRPr="000020DA" w:rsidRDefault="006F1F87" w:rsidP="006F1F87">
                        <w:pPr>
                          <w:jc w:val="center"/>
                          <w:rPr>
                            <w:rFonts w:ascii="Constantia" w:hAnsi="Constantia"/>
                            <w:sz w:val="20"/>
                            <w:szCs w:val="24"/>
                          </w:rPr>
                        </w:pPr>
                        <w:r w:rsidRPr="000020DA">
                          <w:rPr>
                            <w:rFonts w:ascii="Constantia" w:hAnsi="Constantia"/>
                            <w:szCs w:val="22"/>
                            <w:lang w:val="en-US"/>
                          </w:rPr>
                          <w:t>Peraturan Kepolisian Negara Republik Indonesia Nomor 7 Tahun 2021 tentang Registrasi dan Identifikasi Kendaraan Bermotor</w:t>
                        </w:r>
                      </w:p>
                    </w:txbxContent>
                  </v:textbox>
                </v:roundrect>
                <v:shape id="Straight Arrow Connector 1339282956" o:spid="_x0000_s1037" type="#_x0000_t32" style="position:absolute;left:13049;top:33242;width:0;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2tyAAAAOMAAAAPAAAAZHJzL2Rvd25yZXYueG1sRE/NasJA&#10;EL4X+g7LFLzVTSOKRleRStGKB7WiPQ7ZMYlmZ0N21fj2bkHocb7/GU0aU4or1a6wrOCjHYEgTq0u&#10;OFOw+/l674NwHlljaZkU3MnBZPz6MsJE2xtv6Lr1mQgh7BJUkHtfJVK6NCeDrm0r4sAdbW3Qh7PO&#10;pK7xFsJNKeMo6kmDBYeGHCv6zCk9by9Gwep3Pd8vu7OCD6k+L8rN6fvIM6Vab810CMJT4//FT/dC&#10;h/mdziDux4NuD/5+CgDI8QMAAP//AwBQSwECLQAUAAYACAAAACEA2+H2y+4AAACFAQAAEwAAAAAA&#10;AAAAAAAAAAAAAAAAW0NvbnRlbnRfVHlwZXNdLnhtbFBLAQItABQABgAIAAAAIQBa9CxbvwAAABUB&#10;AAALAAAAAAAAAAAAAAAAAB8BAABfcmVscy8ucmVsc1BLAQItABQABgAIAAAAIQBlbT2tyAAAAOMA&#10;AAAPAAAAAAAAAAAAAAAAAAcCAABkcnMvZG93bnJldi54bWxQSwUGAAAAAAMAAwC3AAAA/AIAAAAA&#10;" strokecolor="black [3200]" strokeweight="1.5pt">
                  <v:stroke endarrow="block" joinstyle="miter"/>
                </v:shape>
                <w10:wrap anchorx="margin"/>
              </v:group>
            </w:pict>
          </mc:Fallback>
        </mc:AlternateContent>
      </w:r>
    </w:p>
    <w:p w14:paraId="3A4C0C24" w14:textId="4A514D6F" w:rsidR="006F1F87" w:rsidRDefault="006F1F87" w:rsidP="00854631">
      <w:pPr>
        <w:spacing w:before="120" w:after="120"/>
        <w:jc w:val="both"/>
        <w:rPr>
          <w:rFonts w:ascii="Constantia" w:hAnsi="Constantia"/>
        </w:rPr>
      </w:pPr>
    </w:p>
    <w:p w14:paraId="17699F55" w14:textId="21F98D77" w:rsidR="006F1F87" w:rsidRDefault="006F1F87" w:rsidP="00854631">
      <w:pPr>
        <w:spacing w:before="120" w:after="120"/>
        <w:jc w:val="both"/>
        <w:rPr>
          <w:rFonts w:ascii="Constantia" w:hAnsi="Constantia"/>
        </w:rPr>
      </w:pPr>
    </w:p>
    <w:p w14:paraId="3AE3B238" w14:textId="77777777" w:rsidR="006F1F87" w:rsidRDefault="006F1F87" w:rsidP="00854631">
      <w:pPr>
        <w:spacing w:before="120" w:after="120"/>
        <w:jc w:val="both"/>
        <w:rPr>
          <w:rFonts w:ascii="Constantia" w:hAnsi="Constantia"/>
        </w:rPr>
      </w:pPr>
    </w:p>
    <w:p w14:paraId="3B58E577" w14:textId="77777777" w:rsidR="006F1F87" w:rsidRDefault="006F1F87" w:rsidP="00854631">
      <w:pPr>
        <w:spacing w:before="120" w:after="120"/>
        <w:jc w:val="both"/>
        <w:rPr>
          <w:rFonts w:ascii="Constantia" w:hAnsi="Constantia"/>
        </w:rPr>
      </w:pPr>
    </w:p>
    <w:p w14:paraId="19003939" w14:textId="77777777" w:rsidR="006F1F87" w:rsidRDefault="006F1F87" w:rsidP="00854631">
      <w:pPr>
        <w:spacing w:before="120" w:after="120"/>
        <w:jc w:val="both"/>
        <w:rPr>
          <w:rFonts w:ascii="Constantia" w:hAnsi="Constantia"/>
        </w:rPr>
      </w:pPr>
    </w:p>
    <w:p w14:paraId="6A6F4D2F" w14:textId="77777777" w:rsidR="006F1F87" w:rsidRDefault="006F1F87" w:rsidP="00854631">
      <w:pPr>
        <w:spacing w:before="120" w:after="120"/>
        <w:jc w:val="both"/>
        <w:rPr>
          <w:rFonts w:ascii="Constantia" w:hAnsi="Constantia"/>
        </w:rPr>
      </w:pPr>
    </w:p>
    <w:p w14:paraId="1A43D4B8" w14:textId="77777777" w:rsidR="006F1F87" w:rsidRDefault="006F1F87" w:rsidP="00854631">
      <w:pPr>
        <w:spacing w:before="120" w:after="120"/>
        <w:jc w:val="both"/>
        <w:rPr>
          <w:rFonts w:ascii="Constantia" w:hAnsi="Constantia"/>
        </w:rPr>
      </w:pPr>
    </w:p>
    <w:p w14:paraId="53CF8758" w14:textId="77777777" w:rsidR="006F1F87" w:rsidRDefault="006F1F87" w:rsidP="00854631">
      <w:pPr>
        <w:spacing w:before="120" w:after="120"/>
        <w:jc w:val="both"/>
        <w:rPr>
          <w:rFonts w:ascii="Constantia" w:hAnsi="Constantia"/>
        </w:rPr>
      </w:pPr>
    </w:p>
    <w:p w14:paraId="122251E1" w14:textId="77777777" w:rsidR="006F1F87" w:rsidRDefault="006F1F87" w:rsidP="00854631">
      <w:pPr>
        <w:spacing w:before="120" w:after="120"/>
        <w:jc w:val="both"/>
        <w:rPr>
          <w:rFonts w:ascii="Constantia" w:hAnsi="Constantia"/>
        </w:rPr>
      </w:pPr>
    </w:p>
    <w:p w14:paraId="6033ABEB" w14:textId="77777777" w:rsidR="006F1F87" w:rsidRDefault="006F1F87" w:rsidP="00854631">
      <w:pPr>
        <w:spacing w:before="120" w:after="120"/>
        <w:jc w:val="both"/>
        <w:rPr>
          <w:rFonts w:ascii="Constantia" w:hAnsi="Constantia"/>
        </w:rPr>
      </w:pPr>
    </w:p>
    <w:p w14:paraId="63F215FB" w14:textId="77777777" w:rsidR="006F1F87" w:rsidRDefault="006F1F87" w:rsidP="00854631">
      <w:pPr>
        <w:spacing w:before="120" w:after="120"/>
        <w:jc w:val="both"/>
        <w:rPr>
          <w:rFonts w:ascii="Constantia" w:hAnsi="Constantia"/>
        </w:rPr>
      </w:pPr>
    </w:p>
    <w:p w14:paraId="5B6EE402" w14:textId="77777777" w:rsidR="006F1F87" w:rsidRDefault="006F1F87" w:rsidP="00854631">
      <w:pPr>
        <w:spacing w:before="120" w:after="120"/>
        <w:jc w:val="both"/>
        <w:rPr>
          <w:rFonts w:ascii="Constantia" w:hAnsi="Constantia"/>
        </w:rPr>
      </w:pPr>
    </w:p>
    <w:p w14:paraId="5AE83A11" w14:textId="77777777" w:rsidR="006F1F87" w:rsidRDefault="006F1F87" w:rsidP="00854631">
      <w:pPr>
        <w:spacing w:before="120" w:after="120"/>
        <w:ind w:firstLine="720"/>
        <w:jc w:val="both"/>
        <w:rPr>
          <w:rFonts w:ascii="Constantia" w:hAnsi="Constantia"/>
        </w:rPr>
      </w:pPr>
    </w:p>
    <w:p w14:paraId="29921C40" w14:textId="77777777" w:rsidR="006F1F87" w:rsidRDefault="006F1F87" w:rsidP="006F1F87">
      <w:pPr>
        <w:spacing w:before="120" w:after="120"/>
        <w:jc w:val="both"/>
        <w:rPr>
          <w:rFonts w:ascii="Constantia" w:hAnsi="Constantia"/>
        </w:rPr>
      </w:pPr>
    </w:p>
    <w:p w14:paraId="79EBF2BD" w14:textId="54CF2382" w:rsidR="00854631" w:rsidRDefault="00854631" w:rsidP="00F67F0F">
      <w:pPr>
        <w:spacing w:before="120" w:after="120"/>
        <w:ind w:firstLine="567"/>
        <w:jc w:val="both"/>
        <w:rPr>
          <w:rFonts w:ascii="Constantia" w:hAnsi="Constantia"/>
        </w:rPr>
      </w:pPr>
      <w:r w:rsidRPr="00F52906">
        <w:rPr>
          <w:rFonts w:ascii="Constantia" w:hAnsi="Constantia"/>
        </w:rPr>
        <w:t>ETLE di Indonesia belum memiliki peraturan secara spesifik. Peraturan tentang ETLE ada pada Pasal 5 Undang-Undang Nomor 11 Tahun 2008 Tentang Informasi dan Transasksi Elektronik, Pasal 272 Undang-Undang Nomor 22 Tahun 2009 tentang Lalu Lintas dan Angkutan Jalan, Pasal 13 dan 23 Peraturan Pemerintah Nomor 80 Tahun 2012 tentang Tata Cara Pemeriksaan Kendaraan di Jalan dan Penindakan Pelanggaran Lalu Lintas Angkutan Jalan.</w:t>
      </w:r>
      <w:r>
        <w:rPr>
          <w:rStyle w:val="ReferensiCatatanKaki"/>
          <w:rFonts w:ascii="Constantia" w:hAnsi="Constantia"/>
        </w:rPr>
        <w:footnoteReference w:id="11"/>
      </w:r>
      <w:r>
        <w:rPr>
          <w:rFonts w:ascii="Constantia" w:hAnsi="Constantia"/>
        </w:rPr>
        <w:t xml:space="preserve"> </w:t>
      </w:r>
      <w:r w:rsidRPr="00F52906">
        <w:rPr>
          <w:rFonts w:ascii="Constantia" w:hAnsi="Constantia"/>
        </w:rPr>
        <w:t>Untuk sistem bukti pelanggaran elektronik (ETLE) diterbitkanlah Peraturan Mahkamah</w:t>
      </w:r>
      <w:r>
        <w:rPr>
          <w:rFonts w:ascii="Constantia" w:hAnsi="Constantia"/>
        </w:rPr>
        <w:t xml:space="preserve"> </w:t>
      </w:r>
      <w:r w:rsidRPr="00F52906">
        <w:rPr>
          <w:rFonts w:ascii="Constantia" w:hAnsi="Constantia"/>
        </w:rPr>
        <w:t>Agung Nomor 12 Tahun 2016 tentang Tata Cara Penyelesaian Perkara Lalu Lintas. ETLE juga belum diatur dalam Peraturan Kapolri.</w:t>
      </w:r>
      <w:r>
        <w:rPr>
          <w:rStyle w:val="ReferensiCatatanKaki"/>
          <w:rFonts w:ascii="Constantia" w:hAnsi="Constantia"/>
        </w:rPr>
        <w:footnoteReference w:id="12"/>
      </w:r>
      <w:r>
        <w:rPr>
          <w:rFonts w:ascii="Constantia" w:hAnsi="Constantia"/>
        </w:rPr>
        <w:t xml:space="preserve"> </w:t>
      </w:r>
      <w:r w:rsidRPr="00F52906">
        <w:rPr>
          <w:rFonts w:ascii="Constantia" w:hAnsi="Constantia"/>
        </w:rPr>
        <w:t>Dalam hal perbaikan mendasar undang-undang merupakan hal yang dapat dilakukan jika dalam implementasi yang dilakukan telah berjalan dengan baik tetapi perlu adanya penambahan-penambahan yang penting.</w:t>
      </w:r>
      <w:r>
        <w:rPr>
          <w:rStyle w:val="ReferensiCatatanKaki"/>
          <w:rFonts w:ascii="Constantia" w:hAnsi="Constantia"/>
        </w:rPr>
        <w:footnoteReference w:id="13"/>
      </w:r>
      <w:r>
        <w:rPr>
          <w:rFonts w:ascii="Constantia" w:hAnsi="Constantia"/>
        </w:rPr>
        <w:t xml:space="preserve"> </w:t>
      </w:r>
      <w:r w:rsidRPr="00F52906">
        <w:rPr>
          <w:rFonts w:ascii="Constantia" w:hAnsi="Constantia"/>
        </w:rPr>
        <w:t>Karena hal tersebut ternjadi pelangaran pelanggaran.</w:t>
      </w:r>
    </w:p>
    <w:p w14:paraId="6BCC4900" w14:textId="0014F631" w:rsidR="00854631" w:rsidRDefault="00854631" w:rsidP="00F67F0F">
      <w:pPr>
        <w:spacing w:before="120" w:after="120"/>
        <w:ind w:firstLine="567"/>
        <w:jc w:val="both"/>
        <w:rPr>
          <w:rFonts w:ascii="Constantia" w:hAnsi="Constantia"/>
        </w:rPr>
      </w:pPr>
      <w:r w:rsidRPr="00A06ABC">
        <w:rPr>
          <w:rFonts w:ascii="Constantia" w:hAnsi="Constantia"/>
        </w:rPr>
        <w:t>Pengaturan ETLE yang tidak spesifik akan mengakibatkan masyarakat kurang memahami ETLE. Sistem</w:t>
      </w:r>
      <w:r>
        <w:rPr>
          <w:rFonts w:ascii="Constantia" w:hAnsi="Constantia"/>
        </w:rPr>
        <w:t xml:space="preserve"> </w:t>
      </w:r>
      <w:r w:rsidRPr="00A06ABC">
        <w:rPr>
          <w:rFonts w:ascii="Constantia" w:hAnsi="Constantia"/>
        </w:rPr>
        <w:t>ETLE</w:t>
      </w:r>
      <w:r>
        <w:rPr>
          <w:rFonts w:ascii="Constantia" w:hAnsi="Constantia"/>
        </w:rPr>
        <w:t xml:space="preserve"> </w:t>
      </w:r>
      <w:r w:rsidRPr="00A06ABC">
        <w:rPr>
          <w:rFonts w:ascii="Constantia" w:hAnsi="Constantia"/>
        </w:rPr>
        <w:t>merupakan suatu bentuk upaya dalam mengimplementasikan teknologi untuk mencatat</w:t>
      </w:r>
      <w:r>
        <w:rPr>
          <w:rFonts w:ascii="Constantia" w:hAnsi="Constantia"/>
        </w:rPr>
        <w:t xml:space="preserve"> </w:t>
      </w:r>
      <w:r w:rsidRPr="00A06ABC">
        <w:rPr>
          <w:rFonts w:ascii="Constantia" w:hAnsi="Constantia"/>
        </w:rPr>
        <w:t>pelanggaran lalu</w:t>
      </w:r>
      <w:r>
        <w:rPr>
          <w:rFonts w:ascii="Constantia" w:hAnsi="Constantia"/>
        </w:rPr>
        <w:t xml:space="preserve"> </w:t>
      </w:r>
      <w:r w:rsidRPr="00A06ABC">
        <w:rPr>
          <w:rFonts w:ascii="Constantia" w:hAnsi="Constantia"/>
        </w:rPr>
        <w:t>lintas secara elektronik dalam rangka mendukung keamanan, keselamatan, dan ketertiban.</w:t>
      </w:r>
      <w:r>
        <w:rPr>
          <w:rStyle w:val="ReferensiCatatanKaki"/>
          <w:rFonts w:ascii="Constantia" w:hAnsi="Constantia"/>
        </w:rPr>
        <w:footnoteReference w:id="14"/>
      </w:r>
      <w:r>
        <w:rPr>
          <w:rFonts w:ascii="Constantia" w:hAnsi="Constantia"/>
        </w:rPr>
        <w:t xml:space="preserve"> </w:t>
      </w:r>
      <w:r w:rsidRPr="00A06ABC">
        <w:rPr>
          <w:rFonts w:ascii="Constantia" w:hAnsi="Constantia"/>
        </w:rPr>
        <w:t xml:space="preserve">Tanpa </w:t>
      </w:r>
      <w:r w:rsidRPr="00A06ABC">
        <w:rPr>
          <w:rFonts w:ascii="Constantia" w:hAnsi="Constantia"/>
        </w:rPr>
        <w:lastRenderedPageBreak/>
        <w:t>implementasi ETLE yang baik maka upaya pencegahan praktek suap dalam tilang lalu lintas akan semakin sulit dilakukan.</w:t>
      </w:r>
      <w:r>
        <w:rPr>
          <w:rStyle w:val="ReferensiCatatanKaki"/>
          <w:rFonts w:ascii="Constantia" w:hAnsi="Constantia"/>
        </w:rPr>
        <w:footnoteReference w:id="15"/>
      </w:r>
      <w:r>
        <w:rPr>
          <w:rFonts w:ascii="Constantia" w:hAnsi="Constantia"/>
        </w:rPr>
        <w:t xml:space="preserve"> </w:t>
      </w:r>
      <w:r w:rsidRPr="00A06ABC">
        <w:rPr>
          <w:rFonts w:ascii="Constantia" w:hAnsi="Constantia"/>
        </w:rPr>
        <w:t>Regulasi memiliki peranan penting dalam efekfitifas ETLE karena aspek-aspek dalam efektifitasnya tidak hanya pada sarana-prasarana dan ketaatan masyarakat, tetapi juga aspek ketersediaan regulasi yang cukup.</w:t>
      </w:r>
      <w:r>
        <w:rPr>
          <w:rStyle w:val="ReferensiCatatanKaki"/>
          <w:rFonts w:ascii="Constantia" w:hAnsi="Constantia"/>
        </w:rPr>
        <w:footnoteReference w:id="16"/>
      </w:r>
      <w:r>
        <w:rPr>
          <w:rFonts w:ascii="Constantia" w:hAnsi="Constantia"/>
        </w:rPr>
        <w:t xml:space="preserve"> </w:t>
      </w:r>
      <w:r w:rsidRPr="00A06ABC">
        <w:rPr>
          <w:rFonts w:ascii="Constantia" w:hAnsi="Constantia"/>
        </w:rPr>
        <w:t>Regulasi terkait ETLE akan merefleksikan tentang kemampuan negara untuk menjalankan urusan pemerintahan di bidang pendidikan berlalu lintas.</w:t>
      </w:r>
      <w:r w:rsidR="00555661">
        <w:rPr>
          <w:rStyle w:val="ReferensiCatatanKaki"/>
          <w:rFonts w:ascii="Constantia" w:hAnsi="Constantia"/>
        </w:rPr>
        <w:footnoteReference w:id="17"/>
      </w:r>
      <w:r>
        <w:rPr>
          <w:rFonts w:ascii="Constantia" w:hAnsi="Constantia"/>
        </w:rPr>
        <w:t xml:space="preserve"> </w:t>
      </w:r>
      <w:r w:rsidRPr="00A06ABC">
        <w:rPr>
          <w:rFonts w:ascii="Constantia" w:hAnsi="Constantia"/>
        </w:rPr>
        <w:t>Peraturan ETLE yang lebih spesifik diperlukan agar tidak terdapat menimbulkan masalah dan pelanggaran lain.</w:t>
      </w:r>
    </w:p>
    <w:p w14:paraId="17196715" w14:textId="735F20AE" w:rsidR="00854631" w:rsidRDefault="00854631" w:rsidP="00854631">
      <w:pPr>
        <w:spacing w:before="120" w:after="120"/>
        <w:ind w:firstLine="720"/>
        <w:jc w:val="both"/>
        <w:rPr>
          <w:rFonts w:ascii="Constantia" w:hAnsi="Constantia"/>
        </w:rPr>
      </w:pPr>
      <w:r w:rsidRPr="009A5662">
        <w:rPr>
          <w:rFonts w:ascii="Constantia" w:hAnsi="Constantia"/>
        </w:rPr>
        <w:t xml:space="preserve">Ketiadaan regulasi yang spesifik tentang ETLE dapat mengakibatkan sulitnya semua komponen sosial kemasyarakatan untuk membangun budaya berlalu lintas yang lebih baik. Mengacu pada </w:t>
      </w:r>
      <w:r w:rsidRPr="009A5662">
        <w:rPr>
          <w:rFonts w:ascii="Constantia" w:hAnsi="Constantia"/>
          <w:i/>
          <w:iCs/>
        </w:rPr>
        <w:t>Stűfenbau Theory</w:t>
      </w:r>
      <w:r w:rsidRPr="009A5662">
        <w:rPr>
          <w:rFonts w:ascii="Constantia" w:hAnsi="Constantia"/>
        </w:rPr>
        <w:t>, Indonesia dominan menggunakan paradigma positivisme dalam bentuk tata peraturan yang tersusun dengan sistematis.</w:t>
      </w:r>
      <w:r>
        <w:rPr>
          <w:rStyle w:val="ReferensiCatatanKaki"/>
          <w:rFonts w:ascii="Constantia" w:hAnsi="Constantia"/>
        </w:rPr>
        <w:footnoteReference w:id="18"/>
      </w:r>
      <w:r w:rsidR="00DD1432">
        <w:rPr>
          <w:rFonts w:ascii="Constantia" w:hAnsi="Constantia"/>
        </w:rPr>
        <w:t xml:space="preserve"> </w:t>
      </w:r>
      <w:r w:rsidRPr="009A5662">
        <w:rPr>
          <w:rFonts w:ascii="Constantia" w:hAnsi="Constantia"/>
        </w:rPr>
        <w:t xml:space="preserve">Teori </w:t>
      </w:r>
      <w:r w:rsidRPr="009A5662">
        <w:rPr>
          <w:rFonts w:ascii="Constantia" w:hAnsi="Constantia"/>
          <w:i/>
          <w:iCs/>
        </w:rPr>
        <w:t>Stűfenbau</w:t>
      </w:r>
      <w:r w:rsidRPr="009A5662">
        <w:rPr>
          <w:rFonts w:ascii="Constantia" w:hAnsi="Constantia"/>
        </w:rPr>
        <w:t xml:space="preserve"> juga menegaskan bahwa sistem hukum merupakan sistem anak tangga dengan kaidah berjenjang dimana norma hukum yang paling rendah harus berpegangan pada norma hukum yang lebih tinggi, dan hukum yang tertinggi harus berpegangan pada norma hukum yang paling mendasar (</w:t>
      </w:r>
      <w:r w:rsidRPr="009A5662">
        <w:rPr>
          <w:rFonts w:ascii="Constantia" w:hAnsi="Constantia"/>
          <w:i/>
          <w:iCs/>
        </w:rPr>
        <w:t>grundnorm</w:t>
      </w:r>
      <w:r w:rsidRPr="009A5662">
        <w:rPr>
          <w:rFonts w:ascii="Constantia" w:hAnsi="Constantia"/>
        </w:rPr>
        <w:t>).</w:t>
      </w:r>
      <w:r w:rsidR="00DD1432">
        <w:rPr>
          <w:rFonts w:ascii="Constantia" w:hAnsi="Constantia"/>
        </w:rPr>
        <w:t xml:space="preserve"> </w:t>
      </w:r>
      <w:r w:rsidRPr="009A5662">
        <w:rPr>
          <w:rFonts w:ascii="Constantia" w:hAnsi="Constantia"/>
        </w:rPr>
        <w:t>Dalam suatu negara yang bersistem konstitusional harus ada "</w:t>
      </w:r>
      <w:r w:rsidRPr="009A5662">
        <w:rPr>
          <w:rFonts w:ascii="Constantia" w:hAnsi="Constantia"/>
          <w:i/>
          <w:iCs/>
        </w:rPr>
        <w:t>stứfenbau des recht</w:t>
      </w:r>
      <w:r w:rsidRPr="009A5662">
        <w:rPr>
          <w:rFonts w:ascii="Constantia" w:hAnsi="Constantia"/>
        </w:rPr>
        <w:t>", di mana ketentuan hukum seperti konstitusi yang berada di puncak piramida dari hierarki perundang-undangan itu tidak boleh dikesampingkan.</w:t>
      </w:r>
      <w:r w:rsidR="00DD1432">
        <w:rPr>
          <w:rFonts w:ascii="Constantia" w:hAnsi="Constantia"/>
        </w:rPr>
        <w:t xml:space="preserve"> </w:t>
      </w:r>
      <w:r w:rsidRPr="009A5662">
        <w:rPr>
          <w:rFonts w:ascii="Constantia" w:hAnsi="Constantia"/>
        </w:rPr>
        <w:t>Suatu peraturan akan sah apabila dibuat oleh lembaga atau instansi yang berwenang menetapkannya dan didasarkan pada dan/atau tidak boleh bertentangan dengan norma hukum yang lebih tinggi.</w:t>
      </w:r>
      <w:r w:rsidR="00DD1432">
        <w:rPr>
          <w:rFonts w:ascii="Constantia" w:hAnsi="Constantia"/>
        </w:rPr>
        <w:t xml:space="preserve"> </w:t>
      </w:r>
      <w:r w:rsidRPr="009A5662">
        <w:rPr>
          <w:rFonts w:ascii="Constantia" w:hAnsi="Constantia"/>
        </w:rPr>
        <w:t>Undang-undang merupakan salah satu jenis peraturan yang proses pembentukannya dapat membutuhkan waktu yang lama tetapi jika pembentukannya relatif lama justru tidak akan memenuhi kebutuhan masyarakat.</w:t>
      </w:r>
      <w:r w:rsidR="00DD1432">
        <w:rPr>
          <w:rFonts w:ascii="Constantia" w:hAnsi="Constantia"/>
        </w:rPr>
        <w:t xml:space="preserve"> </w:t>
      </w:r>
      <w:r w:rsidRPr="009A5662">
        <w:rPr>
          <w:rFonts w:ascii="Constantia" w:hAnsi="Constantia"/>
        </w:rPr>
        <w:t>Berdasarkan teori ini maka menjadi kewajaran tidak ditemukan regulasi teknis di Kepolisian tentang ETLE karena Undang-Undang pun belum mengatur ETLE dengan spesifik.</w:t>
      </w:r>
      <w:r>
        <w:rPr>
          <w:rFonts w:ascii="Constantia" w:hAnsi="Constantia"/>
        </w:rPr>
        <w:t xml:space="preserve"> </w:t>
      </w:r>
    </w:p>
    <w:p w14:paraId="3EC9F957" w14:textId="1394733E" w:rsidR="00854631" w:rsidRPr="00854631" w:rsidRDefault="00854631" w:rsidP="00854631">
      <w:pPr>
        <w:spacing w:before="120" w:after="120"/>
        <w:ind w:firstLine="720"/>
        <w:jc w:val="both"/>
        <w:rPr>
          <w:rFonts w:ascii="Constantia" w:hAnsi="Constantia"/>
        </w:rPr>
      </w:pPr>
      <w:r w:rsidRPr="006D5B7F">
        <w:rPr>
          <w:rFonts w:ascii="Constantia" w:hAnsi="Constantia"/>
        </w:rPr>
        <w:t>Kehadiran regulasi yang spesifik mengatur ETLE diperlukan mulai dalam bentuk undang-undang. Kegiatan pembentukan undang-undang adalah suatu bentuk komunikasi antara lembaga yang menetapkan yaitu pemegang kekuasaan legislatif dengan rakyat dalam suatu negara.</w:t>
      </w:r>
      <w:r>
        <w:rPr>
          <w:rStyle w:val="ReferensiCatatanKaki"/>
          <w:rFonts w:ascii="Constantia" w:hAnsi="Constantia"/>
        </w:rPr>
        <w:footnoteReference w:id="19"/>
      </w:r>
      <w:r>
        <w:rPr>
          <w:rFonts w:ascii="Constantia" w:hAnsi="Constantia"/>
        </w:rPr>
        <w:t xml:space="preserve"> </w:t>
      </w:r>
      <w:r w:rsidRPr="006D5B7F">
        <w:rPr>
          <w:rFonts w:ascii="Constantia" w:hAnsi="Constantia"/>
        </w:rPr>
        <w:t>Dalam proses implementasi ETLE harus di</w:t>
      </w:r>
      <w:r>
        <w:rPr>
          <w:rFonts w:ascii="Constantia" w:hAnsi="Constantia"/>
        </w:rPr>
        <w:t xml:space="preserve">imbangi </w:t>
      </w:r>
      <w:r w:rsidRPr="006D5B7F">
        <w:rPr>
          <w:rFonts w:ascii="Constantia" w:hAnsi="Constantia"/>
        </w:rPr>
        <w:t>dengan</w:t>
      </w:r>
      <w:r>
        <w:rPr>
          <w:rFonts w:ascii="Constantia" w:hAnsi="Constantia"/>
        </w:rPr>
        <w:t xml:space="preserve"> proses</w:t>
      </w:r>
      <w:r w:rsidRPr="006D5B7F">
        <w:rPr>
          <w:rFonts w:ascii="Constantia" w:hAnsi="Constantia"/>
        </w:rPr>
        <w:t xml:space="preserve"> edukasi dan sosialisasi kepada masyarakat.</w:t>
      </w:r>
      <w:r>
        <w:rPr>
          <w:rStyle w:val="ReferensiCatatanKaki"/>
          <w:rFonts w:ascii="Constantia" w:hAnsi="Constantia"/>
        </w:rPr>
        <w:footnoteReference w:id="20"/>
      </w:r>
      <w:r>
        <w:rPr>
          <w:rFonts w:ascii="Constantia" w:hAnsi="Constantia"/>
        </w:rPr>
        <w:t xml:space="preserve"> </w:t>
      </w:r>
      <w:r w:rsidRPr="006D5B7F">
        <w:rPr>
          <w:rFonts w:ascii="Constantia" w:hAnsi="Constantia"/>
        </w:rPr>
        <w:t>Menurut pemantauan melalui Operasi Zebra Krakatau pada 2018 pelanggaran lalu lintas yang terjadi semakin meningkat, maka dilakukan Kegiatan gerakan sadar hukum dengan metode ceramah dan metode diskusi.</w:t>
      </w:r>
      <w:r>
        <w:rPr>
          <w:rStyle w:val="ReferensiCatatanKaki"/>
          <w:rFonts w:ascii="Constantia" w:hAnsi="Constantia"/>
        </w:rPr>
        <w:footnoteReference w:id="21"/>
      </w:r>
      <w:r>
        <w:rPr>
          <w:rFonts w:ascii="Constantia" w:hAnsi="Constantia"/>
        </w:rPr>
        <w:t xml:space="preserve"> </w:t>
      </w:r>
      <w:r w:rsidRPr="006D5B7F">
        <w:rPr>
          <w:rFonts w:ascii="Constantia" w:hAnsi="Constantia"/>
        </w:rPr>
        <w:t>Untuk mengatasi permasalahan yang ada, dilakukan</w:t>
      </w:r>
      <w:r>
        <w:rPr>
          <w:rFonts w:ascii="Constantia" w:hAnsi="Constantia"/>
        </w:rPr>
        <w:t xml:space="preserve"> </w:t>
      </w:r>
      <w:r w:rsidRPr="006D5B7F">
        <w:rPr>
          <w:rFonts w:ascii="Constantia" w:hAnsi="Constantia"/>
        </w:rPr>
        <w:t>proses</w:t>
      </w:r>
      <w:r>
        <w:rPr>
          <w:rFonts w:ascii="Constantia" w:hAnsi="Constantia"/>
        </w:rPr>
        <w:t xml:space="preserve"> </w:t>
      </w:r>
      <w:r w:rsidRPr="006D5B7F">
        <w:rPr>
          <w:rFonts w:ascii="Constantia" w:hAnsi="Constantia"/>
        </w:rPr>
        <w:t xml:space="preserve">edukasi dan </w:t>
      </w:r>
      <w:r w:rsidRPr="006D5B7F">
        <w:rPr>
          <w:rFonts w:ascii="Constantia" w:hAnsi="Constantia"/>
        </w:rPr>
        <w:lastRenderedPageBreak/>
        <w:t>pengenalan kaidah-kaidah hukum khususnya tentang hukum lalu lintas kepada para siswa dalam bentuk sosialisasi atau penyuluhan hukum.</w:t>
      </w:r>
      <w:r>
        <w:rPr>
          <w:rStyle w:val="ReferensiCatatanKaki"/>
          <w:rFonts w:ascii="Constantia" w:hAnsi="Constantia"/>
        </w:rPr>
        <w:footnoteReference w:id="22"/>
      </w:r>
      <w:r>
        <w:rPr>
          <w:rFonts w:ascii="Constantia" w:hAnsi="Constantia"/>
        </w:rPr>
        <w:t xml:space="preserve"> </w:t>
      </w:r>
      <w:r w:rsidRPr="006D5B7F">
        <w:rPr>
          <w:rFonts w:ascii="Constantia" w:hAnsi="Constantia"/>
        </w:rPr>
        <w:t>Tidak hanya perlunya kehadiran regulasi yang spesifik saja namun perlu juga dilakukan sosialisasi dan edukasi tentang peraturan yang sudah ada.</w:t>
      </w:r>
    </w:p>
    <w:p w14:paraId="2EC0834C" w14:textId="5D0751DA" w:rsidR="00854631" w:rsidRPr="00863F2A" w:rsidRDefault="00854631" w:rsidP="00484193">
      <w:pPr>
        <w:pStyle w:val="DaftarParagraf"/>
        <w:numPr>
          <w:ilvl w:val="0"/>
          <w:numId w:val="8"/>
        </w:numPr>
        <w:spacing w:before="240" w:after="240"/>
        <w:ind w:left="567" w:hanging="567"/>
        <w:jc w:val="both"/>
        <w:rPr>
          <w:rFonts w:ascii="Constantia" w:hAnsi="Constantia"/>
          <w:b/>
          <w:bCs/>
          <w:color w:val="44546A" w:themeColor="text2"/>
          <w:szCs w:val="22"/>
        </w:rPr>
      </w:pPr>
      <w:r>
        <w:rPr>
          <w:rFonts w:ascii="Constantia" w:hAnsi="Constantia"/>
          <w:b/>
          <w:bCs/>
          <w:color w:val="44546A" w:themeColor="text2"/>
          <w:szCs w:val="22"/>
        </w:rPr>
        <w:t>Efektivitas Penerapan ELTE di Purwokerto</w:t>
      </w:r>
    </w:p>
    <w:p w14:paraId="02E04070" w14:textId="2AF883A9" w:rsidR="00854631" w:rsidRPr="00854631" w:rsidRDefault="00854631" w:rsidP="00B27831">
      <w:pPr>
        <w:spacing w:after="0"/>
        <w:jc w:val="both"/>
        <w:rPr>
          <w:rFonts w:ascii="Constantia" w:hAnsi="Constantia"/>
        </w:rPr>
      </w:pPr>
      <w:r w:rsidRPr="00854631">
        <w:rPr>
          <w:rFonts w:ascii="Constantia" w:hAnsi="Constantia"/>
        </w:rPr>
        <w:t>Efektifitas hukum merupakan suatu kegiatan yang memperlihatkan suatu strategi perumusan masalah yang bersifat umum, yaitu suatu perbandingan realitas hukum dengan ideal hukum. Sehubungan dengan efektifitas penerapan ETLE di Purwokerto yang meliputi Kecamatan Purwokerto Utara, Purwokerto Barat, Purwokerto Timur, dan Purwokerto Selatan sudah diterapkan namun tidak berjalan secara efektif. menurut Soejono Soekanto, apabila sesorang mengatakan bahwa suatu kaidah hukum berhasil atau gagal mencapai tujuan, maka hal itu biasanya diukur apakah pengaruhnya berhasil mangatur sikap tindak atau perilaku tertentu, sehingga sesuai dengan tujuannya atau tidak.</w:t>
      </w:r>
      <w:r w:rsidR="00876F97">
        <w:rPr>
          <w:rStyle w:val="ReferensiCatatanKaki"/>
          <w:rFonts w:ascii="Constantia" w:hAnsi="Constantia"/>
        </w:rPr>
        <w:footnoteReference w:id="23"/>
      </w:r>
      <w:r w:rsidR="00876F97">
        <w:rPr>
          <w:rFonts w:ascii="Constantia" w:hAnsi="Constantia"/>
        </w:rPr>
        <w:t xml:space="preserve"> </w:t>
      </w:r>
      <w:r w:rsidRPr="00854631">
        <w:rPr>
          <w:rFonts w:ascii="Constantia" w:hAnsi="Constantia"/>
        </w:rPr>
        <w:t>Terdapat empat faktor yang mempengaruhi efektifitas dan berfungsinya hukum dalam masyarakat, yaitu:</w:t>
      </w:r>
    </w:p>
    <w:p w14:paraId="7014BBA3" w14:textId="7869C026" w:rsidR="00854631" w:rsidRPr="00854631" w:rsidRDefault="00854631" w:rsidP="00F67F0F">
      <w:pPr>
        <w:pStyle w:val="DaftarParagraf"/>
        <w:numPr>
          <w:ilvl w:val="0"/>
          <w:numId w:val="11"/>
        </w:numPr>
        <w:spacing w:before="120" w:after="120"/>
        <w:ind w:left="1134" w:hanging="567"/>
        <w:jc w:val="both"/>
        <w:rPr>
          <w:rFonts w:ascii="Constantia" w:hAnsi="Constantia"/>
        </w:rPr>
      </w:pPr>
      <w:r w:rsidRPr="00854631">
        <w:rPr>
          <w:rFonts w:ascii="Constantia" w:hAnsi="Constantia"/>
        </w:rPr>
        <w:t xml:space="preserve">Faktor Hukum </w:t>
      </w:r>
    </w:p>
    <w:p w14:paraId="666F49D6" w14:textId="77777777" w:rsidR="00854631" w:rsidRDefault="00854631" w:rsidP="00B27831">
      <w:pPr>
        <w:spacing w:after="0"/>
        <w:ind w:left="567"/>
        <w:jc w:val="both"/>
        <w:rPr>
          <w:rFonts w:ascii="Constantia" w:hAnsi="Constantia"/>
        </w:rPr>
      </w:pPr>
      <w:r w:rsidRPr="00854631">
        <w:rPr>
          <w:rFonts w:ascii="Constantia" w:hAnsi="Constantia"/>
        </w:rPr>
        <w:t>ETLE merupakan kebijakan hukum pidana berkaitan dengan ketertiban lalu lintas. Sebagai suatu kebijakan yang telah dijalankan sejak tahun 2022 melaui surat telegram Nomor ST/2264/X/HUM.3.4.5/2022 (Instruksi Kapolri) sampai dengan saat ini, ETLE telah diatur dalam beberapa peraturan. Berbagai peraturan yang telah diterbitkan di bidang lalu lintas, belum ada satu pun yang memiliki judul tentang ETLE, namun demikian peraturan yang ada relatif telah mengatur substansi tentang ETLE.</w:t>
      </w:r>
    </w:p>
    <w:p w14:paraId="56707D9E" w14:textId="11A8AD18" w:rsidR="00854631" w:rsidRPr="00854631" w:rsidRDefault="00854631" w:rsidP="00F67F0F">
      <w:pPr>
        <w:pStyle w:val="DaftarParagraf"/>
        <w:numPr>
          <w:ilvl w:val="0"/>
          <w:numId w:val="11"/>
        </w:numPr>
        <w:spacing w:before="120" w:after="120"/>
        <w:ind w:left="1134" w:hanging="567"/>
        <w:jc w:val="both"/>
        <w:rPr>
          <w:rFonts w:ascii="Constantia" w:hAnsi="Constantia"/>
        </w:rPr>
      </w:pPr>
      <w:r w:rsidRPr="00854631">
        <w:rPr>
          <w:rFonts w:ascii="Constantia" w:hAnsi="Constantia"/>
        </w:rPr>
        <w:t>Faktor Penegak Hukum</w:t>
      </w:r>
    </w:p>
    <w:p w14:paraId="348FFF4D" w14:textId="77777777" w:rsidR="00854631" w:rsidRDefault="00854631" w:rsidP="00B27831">
      <w:pPr>
        <w:spacing w:after="0"/>
        <w:ind w:left="567"/>
        <w:jc w:val="both"/>
        <w:rPr>
          <w:rFonts w:ascii="Constantia" w:hAnsi="Constantia"/>
        </w:rPr>
      </w:pPr>
      <w:r w:rsidRPr="00854631">
        <w:rPr>
          <w:rFonts w:ascii="Constantia" w:hAnsi="Constantia"/>
        </w:rPr>
        <w:t>Jumlah penegak hukum yang berwenang untuk melakukan penindakan dengan ETLE belum memadai dikarenakan tidak semua anggota satlantas memiliki otoritas untuk mengunggah data aplikasi “ETLE Nasional PRESISI” hanya anggota anggota tertentu yang sudah tersertifikasi dengan syarat: 1) Minimal di SATLANTAS 2 tahun, 2) sudah punya sertifikasi, telah mengikuti pendidikan kejuruan (DIKJUR) ke Serpong untuk E-TLE dan syarat lainnya, namun untuk memberikan data bukti pelanggaran semua anggota satlantas memiliki wewenang.</w:t>
      </w:r>
    </w:p>
    <w:p w14:paraId="1341EBD7" w14:textId="4103BD60" w:rsidR="00854631" w:rsidRPr="00B27831" w:rsidRDefault="00854631" w:rsidP="00F67F0F">
      <w:pPr>
        <w:pStyle w:val="DaftarParagraf"/>
        <w:numPr>
          <w:ilvl w:val="0"/>
          <w:numId w:val="11"/>
        </w:numPr>
        <w:spacing w:before="120" w:after="120"/>
        <w:ind w:left="1134" w:hanging="567"/>
        <w:jc w:val="both"/>
        <w:rPr>
          <w:rFonts w:ascii="Constantia" w:hAnsi="Constantia"/>
        </w:rPr>
      </w:pPr>
      <w:r w:rsidRPr="00B27831">
        <w:rPr>
          <w:rFonts w:ascii="Constantia" w:hAnsi="Constantia"/>
        </w:rPr>
        <w:t>Faktor Sarana dan Fasillitas Hukum</w:t>
      </w:r>
    </w:p>
    <w:p w14:paraId="719755E6" w14:textId="744E3CD8" w:rsidR="002108CE" w:rsidRPr="00854631" w:rsidRDefault="00854631" w:rsidP="00F67F0F">
      <w:pPr>
        <w:spacing w:before="120" w:after="120"/>
        <w:ind w:left="567"/>
        <w:jc w:val="both"/>
        <w:rPr>
          <w:rFonts w:ascii="Constantia" w:hAnsi="Constantia"/>
        </w:rPr>
      </w:pPr>
      <w:r w:rsidRPr="00854631">
        <w:rPr>
          <w:rFonts w:ascii="Constantia" w:hAnsi="Constantia"/>
        </w:rPr>
        <w:t>Penerapan ETLE terhadap pelanggaran lalu lintas di wilayah ini belum maksimal dalam menanggulangi pelanggaran lalu lintas karena kamera ETLE hanya dapat mendeteksi jenis-jenis pelanggaran tertentu.</w:t>
      </w:r>
      <w:r w:rsidR="002108CE">
        <w:rPr>
          <w:rStyle w:val="ReferensiCatatanKaki"/>
          <w:rFonts w:ascii="Constantia" w:hAnsi="Constantia"/>
        </w:rPr>
        <w:footnoteReference w:id="24"/>
      </w:r>
      <w:r w:rsidRPr="00854631">
        <w:rPr>
          <w:rFonts w:ascii="Constantia" w:hAnsi="Constantia"/>
        </w:rPr>
        <w:t xml:space="preserve"> Sampai saat ini terdapat lebih dari 40 </w:t>
      </w:r>
      <w:r w:rsidRPr="00854631">
        <w:rPr>
          <w:rFonts w:ascii="Constantia" w:hAnsi="Constantia"/>
        </w:rPr>
        <w:lastRenderedPageBreak/>
        <w:t xml:space="preserve">APILL (Alat Pemberi Isyarat Lalu Lintas) di seluruh Banyumas tetapi ketersediaan kamera ANPR baru sebatas 18 di titik. Untuk menjalankan E-TLE dianggap kurang memenuhi kriteria efektif karena tidak setiap persimpangan atau lampu lalu lintas terdapat CCTV dan kadang terhambat karena koneksi yang kurang baik. CCTV ada 2 macam: CCTV otomasi yakni CCTV yang otomatis memfoto pelanggaran-pelanggaran yang ada dan CCTV manual yakni CCTV yang merekam video dan pelanggaran-pelanggaran yang ada di screenshot secara manual dan CCTV yang ada di Purwokerto adalah CCTV manual. Pelaksanaan nya ETLE sering terjadinya kesalahan server dan </w:t>
      </w:r>
      <w:r w:rsidRPr="006F1F87">
        <w:rPr>
          <w:rFonts w:ascii="Constantia" w:hAnsi="Constantia"/>
        </w:rPr>
        <w:t>data</w:t>
      </w:r>
      <w:r w:rsidRPr="006F1F87">
        <w:rPr>
          <w:rFonts w:ascii="Constantia" w:hAnsi="Constantia"/>
          <w:i/>
          <w:iCs/>
        </w:rPr>
        <w:t xml:space="preserve"> error</w:t>
      </w:r>
      <w:r w:rsidRPr="00854631">
        <w:rPr>
          <w:rFonts w:ascii="Constantia" w:hAnsi="Constantia"/>
        </w:rPr>
        <w:t>, sarana yang masih kurang, kurangnya pemahaman tentang ETLE.</w:t>
      </w:r>
      <w:r w:rsidR="002108CE">
        <w:rPr>
          <w:rStyle w:val="ReferensiCatatanKaki"/>
          <w:rFonts w:ascii="Constantia" w:hAnsi="Constantia"/>
        </w:rPr>
        <w:footnoteReference w:id="25"/>
      </w:r>
      <w:r w:rsidR="002108CE">
        <w:rPr>
          <w:rFonts w:ascii="Constantia" w:hAnsi="Constantia"/>
        </w:rPr>
        <w:t xml:space="preserve"> </w:t>
      </w:r>
      <w:r w:rsidRPr="00854631">
        <w:rPr>
          <w:rFonts w:ascii="Constantia" w:hAnsi="Constantia"/>
        </w:rPr>
        <w:t>Pelanggaran penggunaan ponsel cenderung memiliki persentase yang lebih kecil dibandingkan pelanggaraan penggunaan sabuk pengamanan.</w:t>
      </w:r>
      <w:r w:rsidR="002108CE">
        <w:rPr>
          <w:rStyle w:val="ReferensiCatatanKaki"/>
          <w:rFonts w:ascii="Constantia" w:hAnsi="Constantia"/>
        </w:rPr>
        <w:footnoteReference w:id="26"/>
      </w:r>
      <w:r w:rsidR="00DD1432">
        <w:rPr>
          <w:rFonts w:ascii="Constantia" w:hAnsi="Constantia"/>
        </w:rPr>
        <w:t xml:space="preserve"> </w:t>
      </w:r>
      <w:r w:rsidRPr="00854631">
        <w:rPr>
          <w:rFonts w:ascii="Constantia" w:hAnsi="Constantia"/>
        </w:rPr>
        <w:t xml:space="preserve">Permasalahan lainnya yang timbul dari ETLE berkaitan dengan kepemilikan kenderaan, bahwa pelanggar belum tentu sama dengan pemilik kendaraan yang terdaftar. </w:t>
      </w:r>
    </w:p>
    <w:p w14:paraId="05E914AC" w14:textId="03792F3F" w:rsidR="00854631" w:rsidRPr="00854631" w:rsidRDefault="00854631" w:rsidP="00F67F0F">
      <w:pPr>
        <w:spacing w:after="0"/>
        <w:ind w:firstLine="567"/>
        <w:jc w:val="both"/>
        <w:rPr>
          <w:rFonts w:ascii="Constantia" w:hAnsi="Constantia"/>
        </w:rPr>
      </w:pPr>
      <w:r w:rsidRPr="00854631">
        <w:rPr>
          <w:rFonts w:ascii="Constantia" w:hAnsi="Constantia"/>
        </w:rPr>
        <w:t>ETLE menimbulkan dampak positif maupun negatif kepada kesadaran masyarakat berlalu lintas. Menurut informan, ETLE memungkinkan pengawasan lalu lintas bisa berlangsung selama 24 jam, ini artinya pengawasan tersebut melampaui kemampuan manusia.</w:t>
      </w:r>
      <w:r w:rsidR="00DD1432">
        <w:rPr>
          <w:rFonts w:ascii="Constantia" w:hAnsi="Constantia"/>
        </w:rPr>
        <w:t xml:space="preserve"> </w:t>
      </w:r>
      <w:r w:rsidRPr="00854631">
        <w:rPr>
          <w:rFonts w:ascii="Constantia" w:hAnsi="Constantia"/>
        </w:rPr>
        <w:t>Hasil rekaman data ETLE menunjukkan pelanggaran penggunaan sabuk masih fluktuatif.</w:t>
      </w:r>
      <w:r w:rsidR="002108CE">
        <w:rPr>
          <w:rStyle w:val="ReferensiCatatanKaki"/>
          <w:rFonts w:ascii="Constantia" w:hAnsi="Constantia"/>
        </w:rPr>
        <w:footnoteReference w:id="27"/>
      </w:r>
      <w:r w:rsidR="00DD1432">
        <w:rPr>
          <w:rFonts w:ascii="Constantia" w:hAnsi="Constantia"/>
        </w:rPr>
        <w:t xml:space="preserve"> </w:t>
      </w:r>
      <w:r w:rsidRPr="00854631">
        <w:rPr>
          <w:rFonts w:ascii="Constantia" w:hAnsi="Constantia"/>
        </w:rPr>
        <w:t>Sehubungan dengan efektivitas ETLE, tentu tidak terlepas dari faktor-faktor yang mempengaruhinya. Berdasarkan Teori Efektifitas hukum yang dikemukan oleh Soerjono Soekanto yaitu Faktor Hukum Sendiri, Faktor Penegakan Hukum, Faktor Sarana dan Fasalitas, Faktor Masyarakat, dan Faktor Kebudayaan.</w:t>
      </w:r>
      <w:r w:rsidR="00BB4079">
        <w:rPr>
          <w:rStyle w:val="ReferensiCatatanKaki"/>
          <w:rFonts w:ascii="Constantia" w:hAnsi="Constantia"/>
        </w:rPr>
        <w:footnoteReference w:id="28"/>
      </w:r>
      <w:r w:rsidR="00BB4079">
        <w:rPr>
          <w:rFonts w:ascii="Constantia" w:hAnsi="Constantia"/>
        </w:rPr>
        <w:t xml:space="preserve"> </w:t>
      </w:r>
      <w:r w:rsidRPr="00854631">
        <w:rPr>
          <w:rFonts w:ascii="Constantia" w:hAnsi="Constantia"/>
        </w:rPr>
        <w:t>Aspek penegak hukum yang merupakan subjek pelaku hukum atau unsur yang melaksanakan atau penerapkan hukum, dapat menjadi salah satu faktor yang mempengaruhi efektivitas pelaksanaan ETLE.</w:t>
      </w:r>
      <w:r w:rsidR="00BB4079">
        <w:rPr>
          <w:rStyle w:val="ReferensiCatatanKaki"/>
          <w:rFonts w:ascii="Constantia" w:hAnsi="Constantia"/>
        </w:rPr>
        <w:footnoteReference w:id="29"/>
      </w:r>
      <w:r w:rsidR="00DD1432">
        <w:rPr>
          <w:rFonts w:ascii="Constantia" w:hAnsi="Constantia"/>
        </w:rPr>
        <w:t xml:space="preserve"> </w:t>
      </w:r>
      <w:r w:rsidRPr="00854631">
        <w:rPr>
          <w:rFonts w:ascii="Constantia" w:hAnsi="Constantia"/>
        </w:rPr>
        <w:t>Penyebab lain terjadinya ketidakefektifan ETLE antara lain belum terjalinnya koordinasi yang baik antara pemerintah atau aparat penegak hukum dan masyarakat.</w:t>
      </w:r>
      <w:r w:rsidR="00BB4079">
        <w:rPr>
          <w:rStyle w:val="ReferensiCatatanKaki"/>
          <w:rFonts w:ascii="Constantia" w:hAnsi="Constantia"/>
        </w:rPr>
        <w:footnoteReference w:id="30"/>
      </w:r>
      <w:r w:rsidRPr="00854631">
        <w:rPr>
          <w:rFonts w:ascii="Constantia" w:hAnsi="Constantia"/>
        </w:rPr>
        <w:t xml:space="preserve"> Faktor-faktor yang mempengaruhi efektivitas pelaksanaan ETLE adalah faktor struktur hukum, substansi hukum, sarana dan prasarana, dan budaya hukum.</w:t>
      </w:r>
    </w:p>
    <w:p w14:paraId="6E29084D" w14:textId="53E50129" w:rsidR="00863F2A" w:rsidRPr="00A06ABC" w:rsidRDefault="00854631" w:rsidP="00BB4079">
      <w:pPr>
        <w:spacing w:after="0"/>
        <w:ind w:firstLine="567"/>
        <w:jc w:val="both"/>
        <w:rPr>
          <w:rFonts w:ascii="Constantia" w:hAnsi="Constantia"/>
        </w:rPr>
      </w:pPr>
      <w:r w:rsidRPr="00854631">
        <w:rPr>
          <w:rFonts w:ascii="Constantia" w:hAnsi="Constantia"/>
        </w:rPr>
        <w:t>Kesadaran masyarakat untuk tertib berlalu lintas harus linear dengan kebijakan penerapan ETLE. Peningkatan kesadaran dapat dilakukan melalui sosialisasi intensif seperti media cetak maupun media elektronik, disediakan juga sarana dan prasarana yang lebih mendukung seperti mesin electroni</w:t>
      </w:r>
      <w:r w:rsidR="00BB4079">
        <w:rPr>
          <w:rFonts w:ascii="Constantia" w:hAnsi="Constantia"/>
        </w:rPr>
        <w:t>k</w:t>
      </w:r>
      <w:r w:rsidRPr="00854631">
        <w:rPr>
          <w:rFonts w:ascii="Constantia" w:hAnsi="Constantia"/>
        </w:rPr>
        <w:t xml:space="preserve"> data </w:t>
      </w:r>
      <w:r w:rsidRPr="00BB4079">
        <w:rPr>
          <w:rFonts w:ascii="Constantia" w:hAnsi="Constantia"/>
          <w:i/>
          <w:iCs/>
        </w:rPr>
        <w:t>capture</w:t>
      </w:r>
      <w:r w:rsidRPr="00854631">
        <w:rPr>
          <w:rFonts w:ascii="Constantia" w:hAnsi="Constantia"/>
        </w:rPr>
        <w:t xml:space="preserve"> (EDC) dan </w:t>
      </w:r>
      <w:r w:rsidRPr="00BB4079">
        <w:rPr>
          <w:rFonts w:ascii="Constantia" w:hAnsi="Constantia"/>
          <w:i/>
          <w:iCs/>
        </w:rPr>
        <w:t>wifi portable</w:t>
      </w:r>
      <w:r w:rsidRPr="00854631">
        <w:rPr>
          <w:rFonts w:ascii="Constantia" w:hAnsi="Constantia"/>
        </w:rPr>
        <w:t>.</w:t>
      </w:r>
      <w:r w:rsidR="00BB4079">
        <w:rPr>
          <w:rStyle w:val="ReferensiCatatanKaki"/>
          <w:rFonts w:ascii="Constantia" w:hAnsi="Constantia"/>
        </w:rPr>
        <w:footnoteReference w:id="31"/>
      </w:r>
      <w:r w:rsidR="00DD1432">
        <w:rPr>
          <w:rFonts w:ascii="Constantia" w:hAnsi="Constantia"/>
        </w:rPr>
        <w:t xml:space="preserve"> </w:t>
      </w:r>
      <w:r w:rsidRPr="00854631">
        <w:rPr>
          <w:rFonts w:ascii="Constantia" w:hAnsi="Constantia"/>
        </w:rPr>
        <w:t xml:space="preserve">Melihat kondisi lalu lintas yang padat, perlunya memasang CCTV di titik-titik lokasi yang </w:t>
      </w:r>
      <w:r w:rsidRPr="00854631">
        <w:rPr>
          <w:rFonts w:ascii="Constantia" w:hAnsi="Constantia"/>
        </w:rPr>
        <w:lastRenderedPageBreak/>
        <w:t>semestinya di pasangi CCTV.</w:t>
      </w:r>
      <w:r w:rsidR="00BB4079">
        <w:rPr>
          <w:rStyle w:val="ReferensiCatatanKaki"/>
          <w:rFonts w:ascii="Constantia" w:hAnsi="Constantia"/>
        </w:rPr>
        <w:footnoteReference w:id="32"/>
      </w:r>
      <w:r w:rsidRPr="00854631">
        <w:rPr>
          <w:rFonts w:ascii="Constantia" w:hAnsi="Constantia"/>
        </w:rPr>
        <w:t xml:space="preserve"> Masyarakat diharapkan lebih terbuka mengenai kemajuan teknologi sehingga mampu mengikuti regulasi hukum yang berbasis teknologi informasi.</w:t>
      </w:r>
      <w:r w:rsidR="00DD1432">
        <w:rPr>
          <w:rStyle w:val="ReferensiCatatanKaki"/>
          <w:rFonts w:ascii="Constantia" w:hAnsi="Constantia"/>
        </w:rPr>
        <w:footnoteReference w:id="33"/>
      </w:r>
      <w:r w:rsidR="00DD1432">
        <w:rPr>
          <w:rFonts w:ascii="Constantia" w:hAnsi="Constantia"/>
        </w:rPr>
        <w:t xml:space="preserve"> </w:t>
      </w:r>
      <w:r w:rsidRPr="00854631">
        <w:rPr>
          <w:rFonts w:ascii="Constantia" w:hAnsi="Constantia"/>
        </w:rPr>
        <w:t>Harapannya,</w:t>
      </w:r>
      <w:r w:rsidR="00DD1432">
        <w:rPr>
          <w:rFonts w:ascii="Constantia" w:hAnsi="Constantia"/>
        </w:rPr>
        <w:t xml:space="preserve"> </w:t>
      </w:r>
      <w:r w:rsidRPr="00854631">
        <w:rPr>
          <w:rFonts w:ascii="Constantia" w:hAnsi="Constantia"/>
        </w:rPr>
        <w:t>intensitas sosialisasi dan pemenuhan sarana</w:t>
      </w:r>
      <w:r w:rsidR="00DD1432">
        <w:rPr>
          <w:rFonts w:ascii="Constantia" w:hAnsi="Constantia"/>
        </w:rPr>
        <w:t xml:space="preserve"> </w:t>
      </w:r>
      <w:r w:rsidRPr="00854631">
        <w:rPr>
          <w:rFonts w:ascii="Constantia" w:hAnsi="Constantia"/>
        </w:rPr>
        <w:t>prasarana dalam penyelenggaraan ETLE dapat linear dengan kesadaran berlalu lintas.</w:t>
      </w:r>
    </w:p>
    <w:p w14:paraId="21EB2899" w14:textId="19F56D75" w:rsidR="00DD1432" w:rsidRDefault="00484193" w:rsidP="00DD1432">
      <w:pPr>
        <w:spacing w:before="360" w:after="360"/>
        <w:rPr>
          <w:rFonts w:ascii="Constantia" w:hAnsi="Constantia"/>
          <w:b/>
          <w:bCs/>
          <w:color w:val="44546A" w:themeColor="text2"/>
          <w:sz w:val="24"/>
          <w:szCs w:val="24"/>
        </w:rPr>
      </w:pPr>
      <w:r w:rsidRPr="00863F2A">
        <w:rPr>
          <w:rFonts w:ascii="Constantia" w:hAnsi="Constantia"/>
          <w:b/>
          <w:bCs/>
          <w:color w:val="44546A" w:themeColor="text2"/>
          <w:sz w:val="24"/>
          <w:szCs w:val="24"/>
        </w:rPr>
        <w:t>SIMPULAN</w:t>
      </w:r>
    </w:p>
    <w:p w14:paraId="6DA25227" w14:textId="77777777" w:rsidR="00555661" w:rsidRDefault="00DD1432" w:rsidP="00F67F0F">
      <w:pPr>
        <w:spacing w:before="120" w:after="120"/>
        <w:jc w:val="both"/>
        <w:rPr>
          <w:rFonts w:ascii="Constantia" w:hAnsi="Constantia"/>
        </w:rPr>
      </w:pPr>
      <w:r w:rsidRPr="00DD1432">
        <w:rPr>
          <w:rFonts w:ascii="Constantia" w:hAnsi="Constantia"/>
        </w:rPr>
        <w:t>Tilang merupakan bukti pelanggaran lalu lintas yang diatur spesifik dalam Undang-Undang Nomor 22 Tahun 2009 tentang Lalu Lintas dan Angkutan Jalan jo Peraturan Pemerintah Nomor 80 Tahun 2012 tentang Tata Cara Pemeriksaan Kendaraan Bermotor Di Jalan Dan Penindakan Pelanggaran Lalu Lintas Dan Angkutan Jalan. Pelaksanaan tilang secara elektonik atau ETLE belum diatur secara spesifik dalam kedua regulasi tersebut, namun berdasarkan Undang-Undang Nomor 11 Tahun 2008 tentang Informasi dan Transaksi Elektronik, rekaman kamera ANPR yang merupakan alat utama dalam ETLE dapat dikategorikan sebagai alat bukti hukum yang sah. Konstruksi ini telah dipahami oleh Informan di Satlantas Polresta Banyumas dan di Dinas Perhubungan Kabupaten Banyumas. Kehadiran ETLE memiliki urgensi untuk mengikuti perkembangan teknologi di bidang penegakan hukum dan mengurangi potensi pungutan liar dalam proses tilang.</w:t>
      </w:r>
      <w:r>
        <w:rPr>
          <w:rFonts w:ascii="Constantia" w:hAnsi="Constantia"/>
        </w:rPr>
        <w:t xml:space="preserve"> Di sisi lain, p</w:t>
      </w:r>
      <w:r w:rsidRPr="00DD1432">
        <w:rPr>
          <w:rFonts w:ascii="Constantia" w:hAnsi="Constantia"/>
        </w:rPr>
        <w:t>enyelenggaraan ETLE di kawasan Purwokerto</w:t>
      </w:r>
      <w:r w:rsidR="00555661">
        <w:rPr>
          <w:rFonts w:ascii="Constantia" w:hAnsi="Constantia"/>
        </w:rPr>
        <w:t xml:space="preserve"> dinilai</w:t>
      </w:r>
      <w:r w:rsidRPr="00DD1432">
        <w:rPr>
          <w:rFonts w:ascii="Constantia" w:hAnsi="Constantia"/>
        </w:rPr>
        <w:t xml:space="preserve"> belum efektif menurut semua faktor-faktor yang dikemuka</w:t>
      </w:r>
      <w:r w:rsidR="00555661">
        <w:rPr>
          <w:rFonts w:ascii="Constantia" w:hAnsi="Constantia"/>
        </w:rPr>
        <w:t>kan</w:t>
      </w:r>
      <w:r w:rsidRPr="00DD1432">
        <w:rPr>
          <w:rFonts w:ascii="Constantia" w:hAnsi="Constantia"/>
        </w:rPr>
        <w:t xml:space="preserve"> oleh Soejono Soekanto</w:t>
      </w:r>
      <w:r w:rsidR="00555661">
        <w:rPr>
          <w:rFonts w:ascii="Constantia" w:hAnsi="Constantia"/>
        </w:rPr>
        <w:t>.</w:t>
      </w:r>
      <w:r w:rsidRPr="00DD1432">
        <w:rPr>
          <w:rFonts w:ascii="Constantia" w:hAnsi="Constantia"/>
        </w:rPr>
        <w:t xml:space="preserve"> Penyelenggaraan ETLE tersebut belum signifikan membangun kesadaran terbit belalu lintas di kawasan Purwokerto.</w:t>
      </w:r>
    </w:p>
    <w:p w14:paraId="26C7CA95" w14:textId="4404223D" w:rsidR="00DD1432" w:rsidRPr="00F95CF3" w:rsidRDefault="00555661" w:rsidP="00F67F0F">
      <w:pPr>
        <w:spacing w:before="120" w:after="120"/>
        <w:ind w:firstLine="720"/>
        <w:jc w:val="both"/>
        <w:rPr>
          <w:rFonts w:ascii="Constantia" w:hAnsi="Constantia"/>
        </w:rPr>
      </w:pPr>
      <w:r w:rsidRPr="00555661">
        <w:rPr>
          <w:rFonts w:ascii="Constantia" w:hAnsi="Constantia"/>
        </w:rPr>
        <w:t xml:space="preserve">Pemerintah bersama Dewan Perwakilan Rakyat </w:t>
      </w:r>
      <w:r>
        <w:rPr>
          <w:rFonts w:ascii="Constantia" w:hAnsi="Constantia"/>
        </w:rPr>
        <w:t xml:space="preserve">perlu </w:t>
      </w:r>
      <w:r w:rsidRPr="00555661">
        <w:rPr>
          <w:rFonts w:ascii="Constantia" w:hAnsi="Constantia"/>
        </w:rPr>
        <w:t>melakukan revisi terhadap Undang-Undang Nomor 22 Tahun 2009 tentang Lalu Lintas dan Angkutan Jalan untuk dapat mengakomodir penggunaan ETLE. ETLE harus diatur secara spesifik sehingga ketersediaan sarana dan prasarananya dapat dijamin difasilitasi oleh negara dan dipahami dengan lebih baik keberaadaannya bagi masyarakat secara meluas.Untuk membuat ETLE berdampak signigikan terhadap kesadaran berlalu lintas di kawasan Purwokerto, diperlukan beberapa cara antara lain</w:t>
      </w:r>
      <w:r>
        <w:rPr>
          <w:rFonts w:ascii="Constantia" w:hAnsi="Constantia"/>
        </w:rPr>
        <w:t xml:space="preserve"> m</w:t>
      </w:r>
      <w:r w:rsidRPr="00555661">
        <w:rPr>
          <w:rFonts w:ascii="Constantia" w:hAnsi="Constantia"/>
        </w:rPr>
        <w:t>emperbanyak dan meningkatkan sarana dan prasarana ETLE terutama Kamera ANPR</w:t>
      </w:r>
      <w:r>
        <w:rPr>
          <w:rFonts w:ascii="Constantia" w:hAnsi="Constantia"/>
        </w:rPr>
        <w:t xml:space="preserve">, </w:t>
      </w:r>
      <w:r w:rsidRPr="00555661">
        <w:rPr>
          <w:rFonts w:ascii="Constantia" w:hAnsi="Constantia"/>
        </w:rPr>
        <w:t>Satlantas Polresta Banyumas dan Dinas Perhubungan Kabupaten Banyumas secara berkesinambungan melanjutkan sosialisasi kepada masyarakat tentang kesadaran tertib berlalu lintas dan penggunaan ETLE dalam penindakan pelangggaran</w:t>
      </w:r>
      <w:r>
        <w:rPr>
          <w:rFonts w:ascii="Constantia" w:hAnsi="Constantia"/>
        </w:rPr>
        <w:t>, m</w:t>
      </w:r>
      <w:r w:rsidRPr="00555661">
        <w:rPr>
          <w:rFonts w:ascii="Constantia" w:hAnsi="Constantia"/>
        </w:rPr>
        <w:t>asyarakat diharapkan berinisiatif untuk mengurangi pelanggaran lalu lintas dan memahami penegakan pelanggaran berbasis ETLE.</w:t>
      </w:r>
    </w:p>
    <w:p w14:paraId="2D509DA3" w14:textId="68EC38A1" w:rsidR="006F1F87" w:rsidRDefault="006F1F87" w:rsidP="006F1F87">
      <w:pPr>
        <w:spacing w:before="360" w:after="360"/>
        <w:rPr>
          <w:rFonts w:ascii="Constantia" w:hAnsi="Constantia"/>
          <w:b/>
          <w:bCs/>
          <w:color w:val="44546A" w:themeColor="text2"/>
          <w:sz w:val="24"/>
          <w:szCs w:val="24"/>
        </w:rPr>
      </w:pPr>
      <w:r>
        <w:rPr>
          <w:rFonts w:ascii="Constantia" w:hAnsi="Constantia"/>
          <w:b/>
          <w:bCs/>
          <w:color w:val="44546A" w:themeColor="text2"/>
          <w:sz w:val="24"/>
          <w:szCs w:val="24"/>
        </w:rPr>
        <w:t>DAFTAR PUSTAKA</w:t>
      </w:r>
    </w:p>
    <w:p w14:paraId="7217169C" w14:textId="11A92BB3"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eastAsia="Constantia" w:hAnsi="Constantia" w:cs="Constantia"/>
          <w:b/>
          <w:color w:val="4472C4"/>
          <w:szCs w:val="22"/>
        </w:rPr>
        <w:fldChar w:fldCharType="begin" w:fldLock="1"/>
      </w:r>
      <w:r w:rsidRPr="00555661">
        <w:rPr>
          <w:rFonts w:ascii="Constantia" w:eastAsia="Constantia" w:hAnsi="Constantia" w:cs="Constantia"/>
          <w:b/>
          <w:color w:val="4472C4"/>
          <w:szCs w:val="22"/>
        </w:rPr>
        <w:instrText xml:space="preserve">ADDIN Mendeley Bibliography CSL_BIBLIOGRAPHY </w:instrText>
      </w:r>
      <w:r w:rsidRPr="00555661">
        <w:rPr>
          <w:rFonts w:ascii="Constantia" w:eastAsia="Constantia" w:hAnsi="Constantia" w:cs="Constantia"/>
          <w:b/>
          <w:color w:val="4472C4"/>
          <w:szCs w:val="22"/>
        </w:rPr>
        <w:fldChar w:fldCharType="separate"/>
      </w:r>
      <w:r w:rsidRPr="00555661">
        <w:rPr>
          <w:rFonts w:ascii="Constantia" w:hAnsi="Constantia" w:cs="Times New Roman"/>
          <w:noProof/>
          <w:szCs w:val="24"/>
        </w:rPr>
        <w:t xml:space="preserve">Aditya, Sulis, and Andi Safriani, ‘Problematika Penerapan Tilang Elektronik Dalam Mengurangi Pelanggaran Lalu Lintas’, </w:t>
      </w:r>
      <w:r w:rsidRPr="00555661">
        <w:rPr>
          <w:rFonts w:ascii="Constantia" w:hAnsi="Constantia" w:cs="Times New Roman"/>
          <w:i/>
          <w:iCs/>
          <w:noProof/>
          <w:szCs w:val="24"/>
        </w:rPr>
        <w:t>Alauddin Law Development Journal</w:t>
      </w:r>
      <w:r w:rsidRPr="00555661">
        <w:rPr>
          <w:rFonts w:ascii="Constantia" w:hAnsi="Constantia" w:cs="Times New Roman"/>
          <w:noProof/>
          <w:szCs w:val="24"/>
        </w:rPr>
        <w:t>, 2.1 (2020), 74–80 &lt;https://doi.org/10.24252/aldev.v2i1.13274&gt;</w:t>
      </w:r>
    </w:p>
    <w:p w14:paraId="7ACB5CC6" w14:textId="05074338"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Ahmad Naufal Dzulfaroh, Rizal Setyo Nugroho, ‘Polri Gelar Operasi Patuh 13-26 Juni 2022, </w:t>
      </w:r>
      <w:r w:rsidRPr="00555661">
        <w:rPr>
          <w:rFonts w:ascii="Constantia" w:hAnsi="Constantia" w:cs="Times New Roman"/>
          <w:noProof/>
          <w:szCs w:val="24"/>
        </w:rPr>
        <w:lastRenderedPageBreak/>
        <w:t xml:space="preserve">Tidak Ada Tilang Manual’, </w:t>
      </w:r>
      <w:r w:rsidRPr="00555661">
        <w:rPr>
          <w:rFonts w:ascii="Constantia" w:hAnsi="Constantia" w:cs="Times New Roman"/>
          <w:i/>
          <w:iCs/>
          <w:noProof/>
          <w:szCs w:val="24"/>
        </w:rPr>
        <w:t>Kompas.Com</w:t>
      </w:r>
      <w:r w:rsidRPr="00555661">
        <w:rPr>
          <w:rFonts w:ascii="Constantia" w:hAnsi="Constantia" w:cs="Times New Roman"/>
          <w:noProof/>
          <w:szCs w:val="24"/>
        </w:rPr>
        <w:t xml:space="preserve">, 2022 </w:t>
      </w:r>
      <w:r>
        <w:rPr>
          <w:rFonts w:ascii="Constantia" w:hAnsi="Constantia" w:cs="Times New Roman"/>
          <w:noProof/>
          <w:szCs w:val="24"/>
        </w:rPr>
        <w:br/>
      </w:r>
      <w:r w:rsidRPr="00555661">
        <w:rPr>
          <w:rFonts w:ascii="Constantia" w:hAnsi="Constantia" w:cs="Times New Roman"/>
          <w:noProof/>
          <w:szCs w:val="24"/>
        </w:rPr>
        <w:t>&lt;https://www.kompas.com/tren/read/2022/06/09/123000765/polri-gelar-operasi-patuh-13-26-juni-2022-tidak-ada-tilang-manual?page=all, 17&gt; [accessed 17 January 2023]</w:t>
      </w:r>
    </w:p>
    <w:p w14:paraId="66B30CBE"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Amin, Rahman, Alfin Pratama, and Iren Manalu, ‘Efektivitas Penerapan Tilang Elektronik Terhadap Pelanggaran Lalu Lintas Di Wilayah Hukum Polda Metro Jaya’, </w:t>
      </w:r>
      <w:r w:rsidRPr="00555661">
        <w:rPr>
          <w:rFonts w:ascii="Constantia" w:hAnsi="Constantia" w:cs="Times New Roman"/>
          <w:i/>
          <w:iCs/>
          <w:noProof/>
          <w:szCs w:val="24"/>
        </w:rPr>
        <w:t>KRTHA BHAYANGKARA</w:t>
      </w:r>
      <w:r w:rsidRPr="00555661">
        <w:rPr>
          <w:rFonts w:ascii="Constantia" w:hAnsi="Constantia" w:cs="Times New Roman"/>
          <w:noProof/>
          <w:szCs w:val="24"/>
        </w:rPr>
        <w:t>, 14.2 (2020), 134–55 &lt;https://doi.org/10.31599/krtha.v14i2.148&gt;</w:t>
      </w:r>
    </w:p>
    <w:p w14:paraId="7DFCB5C1"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Aprillia, Annisa Asri, ‘Implementasi E-Tilang Dalam Meningkatkan Pelayanan Publik Oleh Satuan Lalu-Lintas Polres Banyumas’, </w:t>
      </w:r>
      <w:r w:rsidRPr="00555661">
        <w:rPr>
          <w:rFonts w:ascii="Constantia" w:hAnsi="Constantia" w:cs="Times New Roman"/>
          <w:i/>
          <w:iCs/>
          <w:noProof/>
          <w:szCs w:val="24"/>
        </w:rPr>
        <w:t>Advances in Police Science Research Journal</w:t>
      </w:r>
      <w:r w:rsidRPr="00555661">
        <w:rPr>
          <w:rFonts w:ascii="Constantia" w:hAnsi="Constantia" w:cs="Times New Roman"/>
          <w:noProof/>
          <w:szCs w:val="24"/>
        </w:rPr>
        <w:t>, 4.1 (2020), 209–80</w:t>
      </w:r>
    </w:p>
    <w:p w14:paraId="62D59A0F" w14:textId="45FFE52A"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Armanda, Bagus, ‘Parkir Liar Dalam Perspektif Teori Efektifitas Hukum’, </w:t>
      </w:r>
      <w:r w:rsidRPr="00555661">
        <w:rPr>
          <w:rFonts w:ascii="Constantia" w:hAnsi="Constantia" w:cs="Times New Roman"/>
          <w:i/>
          <w:iCs/>
          <w:noProof/>
          <w:szCs w:val="24"/>
        </w:rPr>
        <w:t>Jurnal Pelita Nusantara</w:t>
      </w:r>
      <w:r w:rsidRPr="00555661">
        <w:rPr>
          <w:rFonts w:ascii="Constantia" w:hAnsi="Constantia" w:cs="Times New Roman"/>
          <w:noProof/>
          <w:szCs w:val="24"/>
        </w:rPr>
        <w:t xml:space="preserve">, 1.4 (2024), 477–81 </w:t>
      </w:r>
      <w:r>
        <w:rPr>
          <w:rFonts w:ascii="Constantia" w:hAnsi="Constantia" w:cs="Times New Roman"/>
          <w:noProof/>
          <w:szCs w:val="24"/>
        </w:rPr>
        <w:br/>
      </w:r>
      <w:r w:rsidRPr="00555661">
        <w:rPr>
          <w:rFonts w:ascii="Constantia" w:hAnsi="Constantia" w:cs="Times New Roman"/>
          <w:noProof/>
          <w:szCs w:val="24"/>
        </w:rPr>
        <w:t>&lt;https://doi.org/10.59996/jurnalpelitanusantara.v1i4.351&gt;</w:t>
      </w:r>
    </w:p>
    <w:p w14:paraId="37840F7C"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Astomo, Putera, ‘Pembentukan Undang-Undang Dalam Rangka Pembaharuan Hukum Nasional Di Era Demokrasi’, </w:t>
      </w:r>
      <w:r w:rsidRPr="00555661">
        <w:rPr>
          <w:rFonts w:ascii="Constantia" w:hAnsi="Constantia" w:cs="Times New Roman"/>
          <w:i/>
          <w:iCs/>
          <w:noProof/>
          <w:szCs w:val="24"/>
        </w:rPr>
        <w:t>Jurnal Konstitusi</w:t>
      </w:r>
      <w:r w:rsidRPr="00555661">
        <w:rPr>
          <w:rFonts w:ascii="Constantia" w:hAnsi="Constantia" w:cs="Times New Roman"/>
          <w:noProof/>
          <w:szCs w:val="24"/>
        </w:rPr>
        <w:t>, 11.3 (2016), 577–99 &lt;https://doi.org/10.31078/jk1139&gt;</w:t>
      </w:r>
    </w:p>
    <w:p w14:paraId="6052E050"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Budianayasa, I Putu, and I Gusti Ngurah Wairocana, ‘Efektivitas Standar Pelayanan Angkutan Trans Sarbagita Berdasarkan Peraturan Gubernur Bali Nomor 11 Tahun 2011’, </w:t>
      </w:r>
      <w:r w:rsidRPr="00555661">
        <w:rPr>
          <w:rFonts w:ascii="Constantia" w:hAnsi="Constantia" w:cs="Times New Roman"/>
          <w:i/>
          <w:iCs/>
          <w:noProof/>
          <w:szCs w:val="24"/>
        </w:rPr>
        <w:t>Journal Ilmu Hukum</w:t>
      </w:r>
      <w:r w:rsidRPr="00555661">
        <w:rPr>
          <w:rFonts w:ascii="Constantia" w:hAnsi="Constantia" w:cs="Times New Roman"/>
          <w:noProof/>
          <w:szCs w:val="24"/>
        </w:rPr>
        <w:t>, 6.3 (2018), 1–15</w:t>
      </w:r>
    </w:p>
    <w:p w14:paraId="667435DA" w14:textId="23E5E7F2"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Charles Rio Valentine Pardede, Surya Nita, Chairul Muriman Setyabudi, ‘Analisis Program Electronic Traffic Law Enforcement (ETLE) Dalam Rangka Menciptakan Kamseltibcarlantas (Studi Kasus Kota Serang)’, </w:t>
      </w:r>
      <w:r w:rsidRPr="00555661">
        <w:rPr>
          <w:rFonts w:ascii="Constantia" w:hAnsi="Constantia" w:cs="Times New Roman"/>
          <w:i/>
          <w:iCs/>
          <w:noProof/>
          <w:szCs w:val="24"/>
        </w:rPr>
        <w:t>Journal of Innovation Research and Knowledge</w:t>
      </w:r>
      <w:r w:rsidRPr="00555661">
        <w:rPr>
          <w:rFonts w:ascii="Constantia" w:hAnsi="Constantia" w:cs="Times New Roman"/>
          <w:noProof/>
          <w:szCs w:val="24"/>
        </w:rPr>
        <w:t xml:space="preserve">, 1.8 (2022), 533–42 </w:t>
      </w:r>
      <w:r>
        <w:rPr>
          <w:rFonts w:ascii="Constantia" w:hAnsi="Constantia" w:cs="Times New Roman"/>
          <w:noProof/>
          <w:szCs w:val="24"/>
        </w:rPr>
        <w:br/>
      </w:r>
      <w:r w:rsidRPr="00555661">
        <w:rPr>
          <w:rFonts w:ascii="Constantia" w:hAnsi="Constantia" w:cs="Times New Roman"/>
          <w:noProof/>
          <w:szCs w:val="24"/>
        </w:rPr>
        <w:t>&lt;https://doi.org/https://doi.org/10.53625/jirk.v1i8.1078&gt;</w:t>
      </w:r>
    </w:p>
    <w:p w14:paraId="1342CF67"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Dewi, Komang Tarisa Felistyana, and I Ketut Sudiarta, ‘Pengaturan Penggunaan Drone Untuk Patroli Batas Wilayah Negara Di Indonesia’, </w:t>
      </w:r>
      <w:r w:rsidRPr="00555661">
        <w:rPr>
          <w:rFonts w:ascii="Constantia" w:hAnsi="Constantia" w:cs="Times New Roman"/>
          <w:i/>
          <w:iCs/>
          <w:noProof/>
          <w:szCs w:val="24"/>
        </w:rPr>
        <w:t>Jurnal Kertha Desa</w:t>
      </w:r>
      <w:r w:rsidRPr="00555661">
        <w:rPr>
          <w:rFonts w:ascii="Constantia" w:hAnsi="Constantia" w:cs="Times New Roman"/>
          <w:noProof/>
          <w:szCs w:val="24"/>
        </w:rPr>
        <w:t>, 10.12 (2020), 1391–1402</w:t>
      </w:r>
    </w:p>
    <w:p w14:paraId="051B68C8" w14:textId="5733C2F1"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Diva Lufiana Putri, Sari Hardiyanto, ‘Operasi Patuh 2022 Dimulai Hari Ini, Berikut Sasaran Dan Besaran Dendanya’, </w:t>
      </w:r>
      <w:r w:rsidRPr="00555661">
        <w:rPr>
          <w:rFonts w:ascii="Constantia" w:hAnsi="Constantia" w:cs="Times New Roman"/>
          <w:i/>
          <w:iCs/>
          <w:noProof/>
          <w:szCs w:val="24"/>
        </w:rPr>
        <w:t>Kompas.Com</w:t>
      </w:r>
      <w:r w:rsidRPr="00555661">
        <w:rPr>
          <w:rFonts w:ascii="Constantia" w:hAnsi="Constantia" w:cs="Times New Roman"/>
          <w:noProof/>
          <w:szCs w:val="24"/>
        </w:rPr>
        <w:t xml:space="preserve">, 2022 </w:t>
      </w:r>
      <w:r w:rsidR="000020DA">
        <w:rPr>
          <w:rFonts w:ascii="Constantia" w:hAnsi="Constantia" w:cs="Times New Roman"/>
          <w:noProof/>
          <w:szCs w:val="24"/>
        </w:rPr>
        <w:br/>
      </w:r>
      <w:r w:rsidRPr="00555661">
        <w:rPr>
          <w:rFonts w:ascii="Constantia" w:hAnsi="Constantia" w:cs="Times New Roman"/>
          <w:noProof/>
          <w:szCs w:val="24"/>
        </w:rPr>
        <w:t>&lt;https://www.kompas.com/tren/read/2022/06/13/073100165/operasi-patuh-2022-dimulai-hari-ini-berikut-sasaran-dan-besaran-dendanya?page=allv&gt; [accessed 17 January 2023]</w:t>
      </w:r>
    </w:p>
    <w:p w14:paraId="078F6347"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Faktawan, Fuadhi, and Izzy Al Kautsar, ‘Prinsip Berkeadilan Tilang Elektronik Dengan Sistem E-TLE (Studi Kota Yogyakarta)’, </w:t>
      </w:r>
      <w:r w:rsidRPr="00555661">
        <w:rPr>
          <w:rFonts w:ascii="Constantia" w:hAnsi="Constantia" w:cs="Times New Roman"/>
          <w:i/>
          <w:iCs/>
          <w:noProof/>
          <w:szCs w:val="24"/>
        </w:rPr>
        <w:t>Wajah Hukum</w:t>
      </w:r>
      <w:r w:rsidRPr="00555661">
        <w:rPr>
          <w:rFonts w:ascii="Constantia" w:hAnsi="Constantia" w:cs="Times New Roman"/>
          <w:noProof/>
          <w:szCs w:val="24"/>
        </w:rPr>
        <w:t>, 6.1 (2022), 86–97 &lt;https://doi.org/10.33087/wjh.v6i1.727&gt;</w:t>
      </w:r>
    </w:p>
    <w:p w14:paraId="22E04B20"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Irvan, M, H Thalib, and B Badaru, ‘Efektivitas Penuntutan Tindak Pidana Korupsi Pada Kejaksaan Tinggi Sulawesi Selatan’, </w:t>
      </w:r>
      <w:r w:rsidRPr="00555661">
        <w:rPr>
          <w:rFonts w:ascii="Constantia" w:hAnsi="Constantia" w:cs="Times New Roman"/>
          <w:i/>
          <w:iCs/>
          <w:noProof/>
          <w:szCs w:val="24"/>
        </w:rPr>
        <w:t>Journal of Lex Generalis (JLG)</w:t>
      </w:r>
      <w:r w:rsidRPr="00555661">
        <w:rPr>
          <w:rFonts w:ascii="Constantia" w:hAnsi="Constantia" w:cs="Times New Roman"/>
          <w:noProof/>
          <w:szCs w:val="24"/>
        </w:rPr>
        <w:t>, 3.7 (2022), 1229–40</w:t>
      </w:r>
    </w:p>
    <w:p w14:paraId="11AEC42C"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Ishaq, Ishaq, ‘Hubungan Mazhab (Aliran) Hukum Positivisme Dengan Perkembangang Hukum Di Indonesia’, </w:t>
      </w:r>
      <w:r w:rsidRPr="00555661">
        <w:rPr>
          <w:rFonts w:ascii="Constantia" w:hAnsi="Constantia" w:cs="Times New Roman"/>
          <w:i/>
          <w:iCs/>
          <w:noProof/>
          <w:szCs w:val="24"/>
        </w:rPr>
        <w:t>Al-Qisthu: Jurnal Kajian Ilmu-Ilmu Hukum</w:t>
      </w:r>
      <w:r w:rsidRPr="00555661">
        <w:rPr>
          <w:rFonts w:ascii="Constantia" w:hAnsi="Constantia" w:cs="Times New Roman"/>
          <w:noProof/>
          <w:szCs w:val="24"/>
        </w:rPr>
        <w:t>, 6.2 (2022), 31–47 &lt;https://doi.org/10.32694/qst.v6i2.1228&gt;</w:t>
      </w:r>
    </w:p>
    <w:p w14:paraId="78A892A3"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Juliadi, ‘Pelaksanaan Tilang Elektronik (E-Tilang) Terhadap Pelanggar Lalu Lintas (Studi Di Satlantas Polres Mataram)’, </w:t>
      </w:r>
      <w:r w:rsidRPr="00555661">
        <w:rPr>
          <w:rFonts w:ascii="Constantia" w:hAnsi="Constantia" w:cs="Times New Roman"/>
          <w:i/>
          <w:iCs/>
          <w:noProof/>
          <w:szCs w:val="24"/>
        </w:rPr>
        <w:t>Jurnal Ilmiah</w:t>
      </w:r>
      <w:r w:rsidRPr="00555661">
        <w:rPr>
          <w:rFonts w:ascii="Constantia" w:hAnsi="Constantia" w:cs="Times New Roman"/>
          <w:noProof/>
          <w:szCs w:val="24"/>
        </w:rPr>
        <w:t>, 2018</w:t>
      </w:r>
    </w:p>
    <w:p w14:paraId="760E826E"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Riski, Sri, ‘Gerakan Sadar Hukum Berlalu Lintas Pada Pelajar Dan Guru SMA Negeri 4 Bandar Lampung Dalam Upaya Preventif Terhadap Pelanggaran Lalu Lintas’, </w:t>
      </w:r>
      <w:r w:rsidRPr="00555661">
        <w:rPr>
          <w:rFonts w:ascii="Constantia" w:hAnsi="Constantia" w:cs="Times New Roman"/>
          <w:i/>
          <w:iCs/>
          <w:noProof/>
          <w:szCs w:val="24"/>
        </w:rPr>
        <w:t>ANDASIH Jurnal Pengabdian Kepada Masyarakat</w:t>
      </w:r>
      <w:r w:rsidRPr="00555661">
        <w:rPr>
          <w:rFonts w:ascii="Constantia" w:hAnsi="Constantia" w:cs="Times New Roman"/>
          <w:noProof/>
          <w:szCs w:val="24"/>
        </w:rPr>
        <w:t>, 1.2 (2020) &lt;https://doi.org/10.57084/andasih.v1i02.459&gt;</w:t>
      </w:r>
    </w:p>
    <w:p w14:paraId="25AEA2AF"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Safitri, Revy, Muhammad Fahri, and Reza Arlianda, ‘Perilaku Berkendara Dampak Penerapan Electronic Traffic Law Enforcement (ETLE) Pada Simpang Bersinyal Di Kota Pangkalpinang’, </w:t>
      </w:r>
      <w:r w:rsidRPr="00555661">
        <w:rPr>
          <w:rFonts w:ascii="Constantia" w:hAnsi="Constantia" w:cs="Times New Roman"/>
          <w:i/>
          <w:iCs/>
          <w:noProof/>
          <w:szCs w:val="24"/>
        </w:rPr>
        <w:t>Bentang</w:t>
      </w:r>
      <w:r w:rsidRPr="00555661">
        <w:rPr>
          <w:rFonts w:ascii="Times New Roman" w:hAnsi="Times New Roman" w:cs="Times New Roman"/>
          <w:i/>
          <w:iCs/>
          <w:noProof/>
          <w:szCs w:val="24"/>
        </w:rPr>
        <w:t> </w:t>
      </w:r>
      <w:r w:rsidRPr="00555661">
        <w:rPr>
          <w:rFonts w:ascii="Constantia" w:hAnsi="Constantia" w:cs="Times New Roman"/>
          <w:i/>
          <w:iCs/>
          <w:noProof/>
          <w:szCs w:val="24"/>
        </w:rPr>
        <w:t>: Jurnal Teoritis Dan Terapan Bidang Rekayasa Sipil</w:t>
      </w:r>
      <w:r w:rsidRPr="00555661">
        <w:rPr>
          <w:rFonts w:ascii="Constantia" w:hAnsi="Constantia" w:cs="Times New Roman"/>
          <w:noProof/>
          <w:szCs w:val="24"/>
        </w:rPr>
        <w:t>, 11.1 (2023), 105–12 &lt;https://doi.org/10.33558/bentang.v11i1.5684&gt;</w:t>
      </w:r>
    </w:p>
    <w:p w14:paraId="37A3DCA1"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Salsabila, F, ‘Inovasi Program Elektronik Tilang (E-Tilang) Dalam Meningkatkan Pelayanan Publik Di Kepolisian Resort (Polres) Kediri’, </w:t>
      </w:r>
      <w:r w:rsidRPr="00555661">
        <w:rPr>
          <w:rFonts w:ascii="Constantia" w:hAnsi="Constantia" w:cs="Times New Roman"/>
          <w:i/>
          <w:iCs/>
          <w:noProof/>
          <w:szCs w:val="24"/>
        </w:rPr>
        <w:t>Publika</w:t>
      </w:r>
      <w:r w:rsidRPr="00555661">
        <w:rPr>
          <w:rFonts w:ascii="Constantia" w:hAnsi="Constantia" w:cs="Times New Roman"/>
          <w:noProof/>
          <w:szCs w:val="24"/>
        </w:rPr>
        <w:t>, 6.2 (2018)</w:t>
      </w:r>
    </w:p>
    <w:p w14:paraId="2453EA27"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Saputra, Arikha, Adi Suliantoro, Fitika Andraini, and Dyah Listyorini, ‘Penegakan E-Tilang </w:t>
      </w:r>
      <w:r w:rsidRPr="00555661">
        <w:rPr>
          <w:rFonts w:ascii="Constantia" w:hAnsi="Constantia" w:cs="Times New Roman"/>
          <w:noProof/>
          <w:szCs w:val="24"/>
        </w:rPr>
        <w:lastRenderedPageBreak/>
        <w:t xml:space="preserve">Berdasarkan Kesalahan Dalam Berlalu Lintas’, </w:t>
      </w:r>
      <w:r w:rsidRPr="00555661">
        <w:rPr>
          <w:rFonts w:ascii="Constantia" w:hAnsi="Constantia" w:cs="Times New Roman"/>
          <w:i/>
          <w:iCs/>
          <w:noProof/>
          <w:szCs w:val="24"/>
        </w:rPr>
        <w:t>Jurnal Komunikasi Hukum (JKH)</w:t>
      </w:r>
      <w:r w:rsidRPr="00555661">
        <w:rPr>
          <w:rFonts w:ascii="Constantia" w:hAnsi="Constantia" w:cs="Times New Roman"/>
          <w:noProof/>
          <w:szCs w:val="24"/>
        </w:rPr>
        <w:t>, 2022 &lt;https://doi.org/10.23887/jkh.v8i1.43717&gt;</w:t>
      </w:r>
    </w:p>
    <w:p w14:paraId="424A8F98"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Sari, Mukti, and Arikha Saputra, ‘Implementasi Pemberlakuan E-Tilang Terhadap Pelanggaran Lalu Lintas Oleh Polrestabes Semarang’, </w:t>
      </w:r>
      <w:r w:rsidRPr="00555661">
        <w:rPr>
          <w:rFonts w:ascii="Constantia" w:hAnsi="Constantia" w:cs="Times New Roman"/>
          <w:i/>
          <w:iCs/>
          <w:noProof/>
          <w:szCs w:val="24"/>
        </w:rPr>
        <w:t>Jurnal Komunikasi Hukum</w:t>
      </w:r>
      <w:r w:rsidRPr="00555661">
        <w:rPr>
          <w:rFonts w:ascii="Constantia" w:hAnsi="Constantia" w:cs="Times New Roman"/>
          <w:noProof/>
          <w:szCs w:val="24"/>
        </w:rPr>
        <w:t>, 2023</w:t>
      </w:r>
    </w:p>
    <w:p w14:paraId="41738140"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Soekanto, Soerjono, </w:t>
      </w:r>
      <w:r w:rsidRPr="00555661">
        <w:rPr>
          <w:rFonts w:ascii="Constantia" w:hAnsi="Constantia" w:cs="Times New Roman"/>
          <w:i/>
          <w:iCs/>
          <w:noProof/>
          <w:szCs w:val="24"/>
        </w:rPr>
        <w:t>Faktor-Faktor Yang Mempengaruhi Penegakan Hukum</w:t>
      </w:r>
      <w:r w:rsidRPr="00555661">
        <w:rPr>
          <w:rFonts w:ascii="Constantia" w:hAnsi="Constantia" w:cs="Times New Roman"/>
          <w:noProof/>
          <w:szCs w:val="24"/>
        </w:rPr>
        <w:t xml:space="preserve"> (Jakarta: PT Raja Grafindo Persada, 2005)</w:t>
      </w:r>
    </w:p>
    <w:p w14:paraId="07325596"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Sudarsa, I Kadek Edy, ‘Efektivitas Penerapan Pidana Denda Dalam Pelanggaran Lalu Lintas (Studi Di Wilayah Hukum Polres Klungkung)’, </w:t>
      </w:r>
      <w:r w:rsidRPr="00555661">
        <w:rPr>
          <w:rFonts w:ascii="Constantia" w:hAnsi="Constantia" w:cs="Times New Roman"/>
          <w:i/>
          <w:iCs/>
          <w:noProof/>
          <w:szCs w:val="24"/>
        </w:rPr>
        <w:t>Jurnal Kertha Desa</w:t>
      </w:r>
      <w:r w:rsidRPr="00555661">
        <w:rPr>
          <w:rFonts w:ascii="Constantia" w:hAnsi="Constantia" w:cs="Times New Roman"/>
          <w:noProof/>
          <w:szCs w:val="24"/>
        </w:rPr>
        <w:t>, 9.22 (2009), 53–63</w:t>
      </w:r>
    </w:p>
    <w:p w14:paraId="310A0D19"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Sunaryo, Sunaryo, Muhammad Fakih, Ratna Syamsiar, and Kasmawati Kasmawati, ‘Peningkatan Kesadaran Hukum Masyarakat Terhadap Undang-Undang Nomor 22 Tahun 2009 Sebagai Upaya Mewujudkan Terciptanya Tertib Lalu Lintas Di Jalan Raya’, </w:t>
      </w:r>
      <w:r w:rsidRPr="00555661">
        <w:rPr>
          <w:rFonts w:ascii="Constantia" w:hAnsi="Constantia" w:cs="Times New Roman"/>
          <w:i/>
          <w:iCs/>
          <w:noProof/>
          <w:szCs w:val="24"/>
        </w:rPr>
        <w:t>Sakai Sambayan Jurnal Pengabdian Kepada Masyarakat</w:t>
      </w:r>
      <w:r w:rsidRPr="00555661">
        <w:rPr>
          <w:rFonts w:ascii="Constantia" w:hAnsi="Constantia" w:cs="Times New Roman"/>
          <w:noProof/>
          <w:szCs w:val="24"/>
        </w:rPr>
        <w:t>, 4.2 (2020), 155–64 &lt;https://doi.org/10.23960/jss.v4i2.186&gt;</w:t>
      </w:r>
    </w:p>
    <w:p w14:paraId="69A534FF"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Syafitri, Endah, and Dadang Mashur, ‘Efektivitas Implementasi Program Electronic Traffic Law Envorcement (ETLE) Nasional Dalam Peningkatan Pelayanan Publik Di Kota Pekanbaru’, </w:t>
      </w:r>
      <w:r w:rsidRPr="00555661">
        <w:rPr>
          <w:rFonts w:ascii="Constantia" w:hAnsi="Constantia" w:cs="Times New Roman"/>
          <w:i/>
          <w:iCs/>
          <w:noProof/>
          <w:szCs w:val="24"/>
        </w:rPr>
        <w:t>Cross-Border</w:t>
      </w:r>
      <w:r w:rsidRPr="00555661">
        <w:rPr>
          <w:rFonts w:ascii="Constantia" w:hAnsi="Constantia" w:cs="Times New Roman"/>
          <w:noProof/>
          <w:szCs w:val="24"/>
        </w:rPr>
        <w:t>, 5.2 (2022), 1322–37</w:t>
      </w:r>
    </w:p>
    <w:p w14:paraId="01EF0E55"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Syaifulloh, Muhammad, ‘Kapolri Melarang Tindakan Tilang Manual, Apa Itu ETLE?’, </w:t>
      </w:r>
      <w:r w:rsidRPr="00555661">
        <w:rPr>
          <w:rFonts w:ascii="Constantia" w:hAnsi="Constantia" w:cs="Times New Roman"/>
          <w:i/>
          <w:iCs/>
          <w:noProof/>
          <w:szCs w:val="24"/>
        </w:rPr>
        <w:t>Tempo.Co</w:t>
      </w:r>
      <w:r w:rsidRPr="00555661">
        <w:rPr>
          <w:rFonts w:ascii="Constantia" w:hAnsi="Constantia" w:cs="Times New Roman"/>
          <w:noProof/>
          <w:szCs w:val="24"/>
        </w:rPr>
        <w:t>, 2022 &lt;https://nasional.tempo.co/read/1649107/kapolri-melarang-tindakan-tilang-manualapa-itu-etle#:~:text=Mengutip laman ETLE Korlantas%2C electronic,dan ketertiban dalam lalu lintas&gt; [accessed 12 December 2022]</w:t>
      </w:r>
    </w:p>
    <w:p w14:paraId="4B057160"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Tetuko, Mega, and Fransisca Romana Harjiyatni, ‘Penerapan Electronic Traffic Law Enforcement (ETLE) Dalam Penindakan Pelanggaran Lalu Lintas (Studi Di Wilayah Hukum Polda DIY)’, </w:t>
      </w:r>
      <w:r w:rsidRPr="00555661">
        <w:rPr>
          <w:rFonts w:ascii="Constantia" w:hAnsi="Constantia" w:cs="Times New Roman"/>
          <w:i/>
          <w:iCs/>
          <w:noProof/>
          <w:szCs w:val="24"/>
        </w:rPr>
        <w:t>Kajian Hasil Penelitian Hukum</w:t>
      </w:r>
      <w:r w:rsidRPr="00555661">
        <w:rPr>
          <w:rFonts w:ascii="Constantia" w:hAnsi="Constantia" w:cs="Times New Roman"/>
          <w:noProof/>
          <w:szCs w:val="24"/>
        </w:rPr>
        <w:t>, 4.2 (2022) &lt;https://doi.org/10.37159/jmih.v4i2.1743&gt;</w:t>
      </w:r>
    </w:p>
    <w:p w14:paraId="2ADB46F2"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cs="Times New Roman"/>
          <w:noProof/>
          <w:szCs w:val="24"/>
        </w:rPr>
      </w:pPr>
      <w:r w:rsidRPr="00555661">
        <w:rPr>
          <w:rFonts w:ascii="Constantia" w:hAnsi="Constantia" w:cs="Times New Roman"/>
          <w:noProof/>
          <w:szCs w:val="24"/>
        </w:rPr>
        <w:t xml:space="preserve">Wibowo, Nanang Wahyu, M Ezra Aminanto, and Lin Yola, ‘Evaluasi Penerapan E-Policing Dalam Program Tilang Elektronik (ETLE) Di Ruas Jalan Margonda Raya Kota Depok’, </w:t>
      </w:r>
      <w:r w:rsidRPr="00555661">
        <w:rPr>
          <w:rFonts w:ascii="Constantia" w:hAnsi="Constantia" w:cs="Times New Roman"/>
          <w:i/>
          <w:iCs/>
          <w:noProof/>
          <w:szCs w:val="24"/>
        </w:rPr>
        <w:t>Focus</w:t>
      </w:r>
      <w:r w:rsidRPr="00555661">
        <w:rPr>
          <w:rFonts w:ascii="Constantia" w:hAnsi="Constantia" w:cs="Times New Roman"/>
          <w:noProof/>
          <w:szCs w:val="24"/>
        </w:rPr>
        <w:t>, 3.2 (2022), 164–72 &lt;https://doi.org/10.37010/fcs.v3i2.970&gt;</w:t>
      </w:r>
    </w:p>
    <w:p w14:paraId="393D7EF1" w14:textId="77777777" w:rsidR="00555661" w:rsidRPr="00555661" w:rsidRDefault="00555661" w:rsidP="00555661">
      <w:pPr>
        <w:widowControl w:val="0"/>
        <w:autoSpaceDE w:val="0"/>
        <w:autoSpaceDN w:val="0"/>
        <w:adjustRightInd w:val="0"/>
        <w:spacing w:after="0" w:line="240" w:lineRule="auto"/>
        <w:ind w:left="480" w:hanging="480"/>
        <w:jc w:val="both"/>
        <w:rPr>
          <w:rFonts w:ascii="Constantia" w:hAnsi="Constantia"/>
          <w:noProof/>
        </w:rPr>
      </w:pPr>
      <w:r w:rsidRPr="00555661">
        <w:rPr>
          <w:rFonts w:ascii="Constantia" w:hAnsi="Constantia" w:cs="Times New Roman"/>
          <w:noProof/>
          <w:szCs w:val="24"/>
        </w:rPr>
        <w:t xml:space="preserve">Wismabrata, Michael Hangga, ‘78 Pengendara Di Purwokerto Terjaring Tilang ETLE Di Hari Pertama, Ini Jenis Pelanggarannya’, </w:t>
      </w:r>
      <w:r w:rsidRPr="00555661">
        <w:rPr>
          <w:rFonts w:ascii="Constantia" w:hAnsi="Constantia" w:cs="Times New Roman"/>
          <w:i/>
          <w:iCs/>
          <w:noProof/>
          <w:szCs w:val="24"/>
        </w:rPr>
        <w:t>Kompas.Com</w:t>
      </w:r>
      <w:r w:rsidRPr="00555661">
        <w:rPr>
          <w:rFonts w:ascii="Constantia" w:hAnsi="Constantia" w:cs="Times New Roman"/>
          <w:noProof/>
          <w:szCs w:val="24"/>
        </w:rPr>
        <w:t>, 2021 &lt;https://regional.kompas.com/read/2021/03/24/104926778/78-pengendara-di-purwokerto-terjaring-tilang-etle-di-hari-pertama-ini-jenis&gt; [accessed 15 February 2023]</w:t>
      </w:r>
    </w:p>
    <w:p w14:paraId="280858C7" w14:textId="5E59AADF" w:rsidR="00484193" w:rsidRPr="00555661" w:rsidRDefault="00555661" w:rsidP="00555661">
      <w:pPr>
        <w:pStyle w:val="Judul1"/>
        <w:spacing w:before="0" w:after="0" w:line="240" w:lineRule="auto"/>
        <w:jc w:val="both"/>
        <w:rPr>
          <w:rFonts w:ascii="Constantia" w:eastAsia="Constantia" w:hAnsi="Constantia" w:cs="Constantia"/>
          <w:b/>
          <w:color w:val="4472C4"/>
          <w:sz w:val="22"/>
          <w:szCs w:val="22"/>
        </w:rPr>
      </w:pPr>
      <w:r w:rsidRPr="00555661">
        <w:rPr>
          <w:rFonts w:ascii="Constantia" w:eastAsia="Constantia" w:hAnsi="Constantia" w:cs="Constantia"/>
          <w:b/>
          <w:color w:val="4472C4"/>
          <w:sz w:val="22"/>
          <w:szCs w:val="22"/>
        </w:rPr>
        <w:fldChar w:fldCharType="end"/>
      </w:r>
    </w:p>
    <w:sectPr w:rsidR="00484193" w:rsidRPr="00555661" w:rsidSect="00863F2A">
      <w:headerReference w:type="even" r:id="rId13"/>
      <w:headerReference w:type="default" r:id="rId14"/>
      <w:footerReference w:type="even" r:id="rId15"/>
      <w:footerReference w:type="default" r:id="rId16"/>
      <w:footerReference w:type="first" r:id="rId17"/>
      <w:pgSz w:w="11906" w:h="16838"/>
      <w:pgMar w:top="1134" w:right="170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4FDC3" w14:textId="77777777" w:rsidR="008F30FC" w:rsidRDefault="008F30FC">
      <w:pPr>
        <w:spacing w:after="0" w:line="240" w:lineRule="auto"/>
      </w:pPr>
      <w:r>
        <w:separator/>
      </w:r>
    </w:p>
  </w:endnote>
  <w:endnote w:type="continuationSeparator" w:id="0">
    <w:p w14:paraId="2D802359" w14:textId="77777777" w:rsidR="008F30FC" w:rsidRDefault="008F3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68F85AA-5A72-40EB-9FA8-2B265BAB3464}"/>
    <w:embedBold r:id="rId2" w:fontKey="{1D7D777B-AFA4-4069-8FAE-67633007613B}"/>
    <w:embedItalic r:id="rId3" w:fontKey="{0045E609-E9AD-4C85-883F-4D1A208D9AA5}"/>
    <w:embedBoldItalic r:id="rId4" w:fontKey="{AFEBA066-8638-4B9F-928D-943772C8408B}"/>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5" w:fontKey="{6C27F76C-818F-4B39-B36B-4D9FDF8CE48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CCF2E8FF-078C-4104-A251-D885B9B06566}"/>
  </w:font>
  <w:font w:name="Vrinda">
    <w:panose1 w:val="00000400000000000000"/>
    <w:charset w:val="00"/>
    <w:family w:val="swiss"/>
    <w:pitch w:val="variable"/>
    <w:sig w:usb0="00010003" w:usb1="00000000" w:usb2="00000000" w:usb3="00000000" w:csb0="00000001" w:csb1="00000000"/>
    <w:embedRegular r:id="rId7" w:fontKey="{E546D7A8-9D6A-414D-9287-08E836740D89}"/>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embedRegular r:id="rId8" w:fontKey="{F933C6E4-FE9E-494D-B295-297C3EB00797}"/>
  </w:font>
  <w:font w:name="Calibri Light">
    <w:panose1 w:val="020F0302020204030204"/>
    <w:charset w:val="00"/>
    <w:family w:val="swiss"/>
    <w:pitch w:val="variable"/>
    <w:sig w:usb0="E4002EFF" w:usb1="C000247B" w:usb2="00000009" w:usb3="00000000" w:csb0="000001FF" w:csb1="00000000"/>
    <w:embedRegular r:id="rId9" w:fontKey="{990E9DD0-5BF0-467E-A3E3-7368A7FAECAE}"/>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0" w:fontKey="{22533E98-23AC-4ED8-AB4F-D310F2AD1BC7}"/>
    <w:embedItalic r:id="rId11" w:fontKey="{99E484D3-48AB-4EF6-8893-363702245D59}"/>
  </w:font>
  <w:font w:name="Constantia">
    <w:panose1 w:val="02030602050306030303"/>
    <w:charset w:val="00"/>
    <w:family w:val="roman"/>
    <w:pitch w:val="variable"/>
    <w:sig w:usb0="A00002EF" w:usb1="4000204B" w:usb2="00000000" w:usb3="00000000" w:csb0="0000019F" w:csb1="00000000"/>
    <w:embedRegular r:id="rId12" w:fontKey="{E794AF27-1AC2-44AF-963F-7714E654EA62}"/>
    <w:embedBold r:id="rId13" w:fontKey="{086D6991-4307-4F0F-B4F1-608CB8CE0976}"/>
    <w:embedItalic r:id="rId14" w:fontKey="{7EF712A0-2107-4768-A8C3-7F17EE3A430D}"/>
    <w:embedBoldItalic r:id="rId15" w:fontKey="{A0D16477-1B8C-4941-B2A9-38E3BBB1DBB8}"/>
  </w:font>
  <w:font w:name="Webdings">
    <w:panose1 w:val="05030102010509060703"/>
    <w:charset w:val="02"/>
    <w:family w:val="roman"/>
    <w:pitch w:val="variable"/>
    <w:sig w:usb0="00000000" w:usb1="10000000" w:usb2="00000000" w:usb3="00000000" w:csb0="80000000" w:csb1="00000000"/>
    <w:embedRegular r:id="rId16" w:fontKey="{0360EBB3-50D9-4544-BC86-E1483245145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embedRegular r:id="rId17" w:fontKey="{400213D3-6465-4A42-A0F9-E7509AD8BACE}"/>
    <w:embedBold r:id="rId18" w:fontKey="{6CC659B8-08E4-4D8E-ADD8-C707DD3296F9}"/>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ABCDD" w14:textId="77777777" w:rsidR="006120E4" w:rsidRDefault="00000000">
    <w:pPr>
      <w:pBdr>
        <w:top w:val="nil"/>
        <w:left w:val="nil"/>
        <w:bottom w:val="nil"/>
        <w:right w:val="nil"/>
        <w:between w:val="nil"/>
      </w:pBdr>
      <w:tabs>
        <w:tab w:val="center" w:pos="4680"/>
        <w:tab w:val="right" w:pos="9360"/>
      </w:tabs>
      <w:spacing w:after="0" w:line="240" w:lineRule="auto"/>
      <w:jc w:val="center"/>
      <w:rPr>
        <w:rFonts w:ascii="Constantia" w:eastAsia="Constantia" w:hAnsi="Constantia" w:cs="Constantia"/>
        <w:b/>
        <w:color w:val="000000"/>
        <w:sz w:val="18"/>
        <w:szCs w:val="18"/>
      </w:rPr>
    </w:pPr>
    <w:r>
      <w:rPr>
        <w:rFonts w:ascii="Constantia" w:eastAsia="Constantia" w:hAnsi="Constantia" w:cs="Constantia"/>
        <w:b/>
        <w:color w:val="000000"/>
        <w:sz w:val="18"/>
        <w:szCs w:val="18"/>
      </w:rPr>
      <w:t>[</w:t>
    </w:r>
    <w:r>
      <w:rPr>
        <w:rFonts w:ascii="Constantia" w:eastAsia="Constantia" w:hAnsi="Constantia" w:cs="Constantia"/>
        <w:b/>
        <w:color w:val="000000"/>
        <w:sz w:val="18"/>
        <w:szCs w:val="18"/>
      </w:rPr>
      <w:fldChar w:fldCharType="begin"/>
    </w:r>
    <w:r>
      <w:rPr>
        <w:rFonts w:ascii="Constantia" w:eastAsia="Constantia" w:hAnsi="Constantia" w:cs="Constantia"/>
        <w:b/>
        <w:color w:val="000000"/>
        <w:sz w:val="18"/>
        <w:szCs w:val="18"/>
      </w:rPr>
      <w:instrText>PAGE</w:instrText>
    </w:r>
    <w:r>
      <w:rPr>
        <w:rFonts w:ascii="Constantia" w:eastAsia="Constantia" w:hAnsi="Constantia" w:cs="Constantia"/>
        <w:b/>
        <w:color w:val="000000"/>
        <w:sz w:val="18"/>
        <w:szCs w:val="18"/>
      </w:rPr>
      <w:fldChar w:fldCharType="separate"/>
    </w:r>
    <w:r w:rsidR="008E6904">
      <w:rPr>
        <w:rFonts w:ascii="Constantia" w:eastAsia="Constantia" w:hAnsi="Constantia" w:cs="Constantia"/>
        <w:b/>
        <w:noProof/>
        <w:color w:val="000000"/>
        <w:sz w:val="18"/>
        <w:szCs w:val="18"/>
      </w:rPr>
      <w:t>2</w:t>
    </w:r>
    <w:r>
      <w:rPr>
        <w:rFonts w:ascii="Constantia" w:eastAsia="Constantia" w:hAnsi="Constantia" w:cs="Constantia"/>
        <w:b/>
        <w:color w:val="000000"/>
        <w:sz w:val="18"/>
        <w:szCs w:val="18"/>
      </w:rPr>
      <w:fldChar w:fldCharType="end"/>
    </w:r>
    <w:r>
      <w:rPr>
        <w:rFonts w:ascii="Constantia" w:eastAsia="Constantia" w:hAnsi="Constantia" w:cs="Constantia"/>
        <w:b/>
        <w:color w:val="000000"/>
        <w:sz w:val="18"/>
        <w:szCs w:val="18"/>
      </w:rPr>
      <w:t>]</w:t>
    </w:r>
  </w:p>
  <w:p w14:paraId="4ABC4420" w14:textId="77777777" w:rsidR="006120E4" w:rsidRDefault="006120E4">
    <w:pPr>
      <w:pBdr>
        <w:top w:val="nil"/>
        <w:left w:val="nil"/>
        <w:bottom w:val="nil"/>
        <w:right w:val="nil"/>
        <w:between w:val="nil"/>
      </w:pBdr>
      <w:tabs>
        <w:tab w:val="center" w:pos="4680"/>
        <w:tab w:val="right" w:pos="9360"/>
      </w:tabs>
      <w:spacing w:after="0" w:line="240" w:lineRule="auto"/>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1A9FF" w14:textId="3CC7E24A" w:rsidR="006120E4" w:rsidRDefault="00000000" w:rsidP="00863F2A">
    <w:pPr>
      <w:pBdr>
        <w:top w:val="nil"/>
        <w:left w:val="nil"/>
        <w:bottom w:val="nil"/>
        <w:right w:val="nil"/>
        <w:between w:val="nil"/>
      </w:pBdr>
      <w:tabs>
        <w:tab w:val="center" w:pos="4680"/>
        <w:tab w:val="right" w:pos="9360"/>
      </w:tabs>
      <w:spacing w:after="0" w:line="240" w:lineRule="auto"/>
      <w:jc w:val="right"/>
      <w:rPr>
        <w:rFonts w:ascii="Constantia" w:eastAsia="Constantia" w:hAnsi="Constantia" w:cs="Constantia"/>
        <w:b/>
        <w:color w:val="000000"/>
        <w:sz w:val="18"/>
        <w:szCs w:val="18"/>
      </w:rPr>
    </w:pPr>
    <w:r>
      <w:rPr>
        <w:rFonts w:ascii="Constantia" w:eastAsia="Constantia" w:hAnsi="Constantia" w:cs="Constantia"/>
        <w:b/>
        <w:color w:val="000000"/>
        <w:sz w:val="18"/>
        <w:szCs w:val="18"/>
      </w:rPr>
      <w:t>[</w:t>
    </w:r>
    <w:r>
      <w:rPr>
        <w:rFonts w:ascii="Constantia" w:eastAsia="Constantia" w:hAnsi="Constantia" w:cs="Constantia"/>
        <w:b/>
        <w:color w:val="000000"/>
        <w:sz w:val="18"/>
        <w:szCs w:val="18"/>
      </w:rPr>
      <w:fldChar w:fldCharType="begin"/>
    </w:r>
    <w:r>
      <w:rPr>
        <w:rFonts w:ascii="Constantia" w:eastAsia="Constantia" w:hAnsi="Constantia" w:cs="Constantia"/>
        <w:b/>
        <w:color w:val="000000"/>
        <w:sz w:val="18"/>
        <w:szCs w:val="18"/>
      </w:rPr>
      <w:instrText>PAGE</w:instrText>
    </w:r>
    <w:r>
      <w:rPr>
        <w:rFonts w:ascii="Constantia" w:eastAsia="Constantia" w:hAnsi="Constantia" w:cs="Constantia"/>
        <w:b/>
        <w:color w:val="000000"/>
        <w:sz w:val="18"/>
        <w:szCs w:val="18"/>
      </w:rPr>
      <w:fldChar w:fldCharType="separate"/>
    </w:r>
    <w:r w:rsidR="008E6904">
      <w:rPr>
        <w:rFonts w:ascii="Constantia" w:eastAsia="Constantia" w:hAnsi="Constantia" w:cs="Constantia"/>
        <w:b/>
        <w:noProof/>
        <w:color w:val="000000"/>
        <w:sz w:val="18"/>
        <w:szCs w:val="18"/>
      </w:rPr>
      <w:t>3</w:t>
    </w:r>
    <w:r>
      <w:rPr>
        <w:rFonts w:ascii="Constantia" w:eastAsia="Constantia" w:hAnsi="Constantia" w:cs="Constantia"/>
        <w:b/>
        <w:color w:val="000000"/>
        <w:sz w:val="18"/>
        <w:szCs w:val="18"/>
      </w:rPr>
      <w:fldChar w:fldCharType="end"/>
    </w:r>
    <w:r>
      <w:rPr>
        <w:rFonts w:ascii="Constantia" w:eastAsia="Constantia" w:hAnsi="Constantia" w:cs="Constantia"/>
        <w:b/>
        <w:color w:val="000000"/>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ADD7" w14:textId="77777777" w:rsidR="006120E4" w:rsidRDefault="006120E4">
    <w:pPr>
      <w:pBdr>
        <w:top w:val="nil"/>
        <w:left w:val="nil"/>
        <w:bottom w:val="nil"/>
        <w:right w:val="nil"/>
        <w:between w:val="nil"/>
      </w:pBdr>
      <w:tabs>
        <w:tab w:val="left" w:pos="1816"/>
      </w:tabs>
      <w:spacing w:after="0" w:line="240" w:lineRule="auto"/>
      <w:rPr>
        <w:rFonts w:ascii="Book Antiqua" w:eastAsia="Book Antiqua" w:hAnsi="Book Antiqua" w:cs="Book Antiqua"/>
        <w:b/>
        <w:color w:val="C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F7344" w14:textId="77777777" w:rsidR="008F30FC" w:rsidRDefault="008F30FC">
      <w:pPr>
        <w:spacing w:after="0" w:line="240" w:lineRule="auto"/>
      </w:pPr>
      <w:r>
        <w:separator/>
      </w:r>
    </w:p>
  </w:footnote>
  <w:footnote w:type="continuationSeparator" w:id="0">
    <w:p w14:paraId="5D637960" w14:textId="77777777" w:rsidR="008F30FC" w:rsidRDefault="008F30FC">
      <w:pPr>
        <w:spacing w:after="0" w:line="240" w:lineRule="auto"/>
      </w:pPr>
      <w:r>
        <w:continuationSeparator/>
      </w:r>
    </w:p>
  </w:footnote>
  <w:footnote w:id="1">
    <w:p w14:paraId="1CCDE1A2" w14:textId="0AB60174" w:rsidR="00C40FD5" w:rsidRPr="00C40FD5" w:rsidRDefault="00C40FD5" w:rsidP="00DD1432">
      <w:pPr>
        <w:pStyle w:val="TeksCatatanKaki"/>
        <w:jc w:val="both"/>
        <w:rPr>
          <w:lang w:val="en-US"/>
        </w:rPr>
      </w:pPr>
      <w:r>
        <w:rPr>
          <w:rStyle w:val="ReferensiCatatanKaki"/>
        </w:rPr>
        <w:footnoteRef/>
      </w:r>
      <w:r>
        <w:t xml:space="preserve"> </w:t>
      </w:r>
      <w:r>
        <w:fldChar w:fldCharType="begin" w:fldLock="1"/>
      </w:r>
      <w:r w:rsidR="00DB5DEA">
        <w:instrText>ADDIN CSL_CITATION {"citationItems":[{"id":"ITEM-1","itemData":{"URL":"https://www.kompas.com/tren/read/2022/06/13/073100165/operasi-patuh-2022-dimulai-hari-ini-berikut-sasaran-dan-besaran-dendanya?page=allv","accessed":{"date-parts":[["2023","1","17"]]},"author":[{"dropping-particle":"","family":"Diva Lufiana Putri","given":"Sari Hardiyanto","non-dropping-particle":"","parse-names":false,"suffix":""}],"container-title":"kompas.com","id":"ITEM-1","issued":{"date-parts":[["2022"]]},"title":"Operasi Patuh 2022 Dimulai Hari Ini, Berikut Sasaran dan Besaran Dendanya","type":"webpage"},"uris":["http://www.mendeley.com/documents/?uuid=3181beb8-ff11-4f46-a492-75564991a293"]}],"mendeley":{"formattedCitation":"Sari Hardiyanto Diva Lufiana Putri, ‘Operasi Patuh 2022 Dimulai Hari Ini, Berikut Sasaran Dan Besaran Dendanya’, &lt;i&gt;Kompas.Com&lt;/i&gt;, 2022 &lt;https://www.kompas.com/tren/read/2022/06/13/073100165/operasi-patuh-2022-dimulai-hari-ini-berikut-sasaran-dan-besaran-dendanya?page=allv&gt; [accessed 17 January 2023].","plainTextFormattedCitation":"Sari Hardiyanto Diva Lufiana Putri, ‘Operasi Patuh 2022 Dimulai Hari Ini, Berikut Sasaran Dan Besaran Dendanya’, Kompas.Com, 2022  [accessed 17 January 2023].","previouslyFormattedCitation":"Sari Hardiyanto Diva Lufiana Putri, ‘Operasi Patuh 2022 Dimulai Hari Ini, Berikut Sasaran Dan Besaran Dendanya’, &lt;i&gt;Kompas.Com&lt;/i&gt;, 2022 &lt;https://www.kompas.com/tren/read/2022/06/13/073100165/operasi-patuh-2022-dimulai-hari-ini-berikut-sasaran-dan-besaran-dendanya?page=allv&gt; [accessed 17 January 2023]."},"properties":{"noteIndex":1},"schema":"https://github.com/citation-style-language/schema/raw/master/csl-citation.json"}</w:instrText>
      </w:r>
      <w:r>
        <w:fldChar w:fldCharType="separate"/>
      </w:r>
      <w:r w:rsidR="00555661" w:rsidRPr="00555661">
        <w:rPr>
          <w:noProof/>
        </w:rPr>
        <w:t xml:space="preserve">Sari Hardiyanto Diva Lufiana Putri, ‘Operasi Patuh 2022 Dimulai Hari Ini, Berikut Sasaran Dan Besaran Dendanya’, </w:t>
      </w:r>
      <w:r w:rsidR="00555661" w:rsidRPr="00555661">
        <w:rPr>
          <w:i/>
          <w:noProof/>
        </w:rPr>
        <w:t>Kompas.Com</w:t>
      </w:r>
      <w:r w:rsidR="00555661" w:rsidRPr="00555661">
        <w:rPr>
          <w:noProof/>
        </w:rPr>
        <w:t>, 2022 &lt;https://www.kompas.com/tren/read/2022/06/13/073100165/operasi-patuh-2022-dimulai-hari-ini-berikut-sasaran-dan-besaran-dendanya?page=allv&gt; [accessed 17 January 2023].</w:t>
      </w:r>
      <w:r>
        <w:fldChar w:fldCharType="end"/>
      </w:r>
    </w:p>
  </w:footnote>
  <w:footnote w:id="2">
    <w:p w14:paraId="707301CC" w14:textId="184C3BA9" w:rsidR="00C40FD5" w:rsidRPr="00C40FD5" w:rsidRDefault="00C40FD5" w:rsidP="00DD1432">
      <w:pPr>
        <w:pStyle w:val="TeksCatatanKaki"/>
        <w:jc w:val="both"/>
        <w:rPr>
          <w:lang w:val="en-US"/>
        </w:rPr>
      </w:pPr>
      <w:r>
        <w:rPr>
          <w:rStyle w:val="ReferensiCatatanKaki"/>
        </w:rPr>
        <w:footnoteRef/>
      </w:r>
      <w:r>
        <w:t xml:space="preserve"> </w:t>
      </w:r>
      <w:r>
        <w:fldChar w:fldCharType="begin" w:fldLock="1"/>
      </w:r>
      <w:r w:rsidR="00DB5DEA">
        <w:instrText>ADDIN CSL_CITATION {"citationItems":[{"id":"ITEM-1","itemData":{"URL":"https://www.kompas.com/tren/read/2022/06/09/123000765/polri-gelar-operasi-patuh-13-26-juni-2022-tidak-ada-tilang-manual?page=all, 17","accessed":{"date-parts":[["2023","1","17"]]},"author":[{"dropping-particle":"","family":"Ahmad Naufal Dzulfaroh","given":"Rizal Setyo Nugroho","non-dropping-particle":"","parse-names":false,"suffix":""}],"container-title":"kompas.com","id":"ITEM-1","issued":{"date-parts":[["2022"]]},"title":"Polri Gelar Operasi Patuh 13-26 Juni 2022, Tidak Ada Tilang Manual","type":"webpage"},"uris":["http://www.mendeley.com/documents/?uuid=d2d15939-4416-475e-b241-5c5eb022b02c"]}],"mendeley":{"formattedCitation":"Rizal Setyo Nugroho Ahmad Naufal Dzulfaroh, ‘Polri Gelar Operasi Patuh 13-26 Juni 2022, Tidak Ada Tilang Manual’, &lt;i&gt;Kompas.Com&lt;/i&gt;, 2022 &lt;https://www.kompas.com/tren/read/2022/06/09/123000765/polri-gelar-operasi-patuh-13-26-juni-2022-tidak-ada-tilang-manual?page=all, 17&gt; [accessed 17 January 2023].","plainTextFormattedCitation":"Rizal Setyo Nugroho Ahmad Naufal Dzulfaroh, ‘Polri Gelar Operasi Patuh 13-26 Juni 2022, Tidak Ada Tilang Manual’, Kompas.Com, 2022  [accessed 17 January 2023].","previouslyFormattedCitation":"Rizal Setyo Nugroho Ahmad Naufal Dzulfaroh, ‘Polri Gelar Operasi Patuh 13-26 Juni 2022, Tidak Ada Tilang Manual’, &lt;i&gt;Kompas.Com&lt;/i&gt;, 2022 &lt;https://www.kompas.com/tren/read/2022/06/09/123000765/polri-gelar-operasi-patuh-13-26-juni-2022-tidak-ada-tilang-manual?page=all, 17&gt; [accessed 17 January 2023]."},"properties":{"noteIndex":2},"schema":"https://github.com/citation-style-language/schema/raw/master/csl-citation.json"}</w:instrText>
      </w:r>
      <w:r>
        <w:fldChar w:fldCharType="separate"/>
      </w:r>
      <w:r w:rsidR="00555661" w:rsidRPr="00555661">
        <w:rPr>
          <w:noProof/>
        </w:rPr>
        <w:t xml:space="preserve">Rizal Setyo Nugroho Ahmad Naufal Dzulfaroh, ‘Polri Gelar Operasi Patuh 13-26 Juni 2022, Tidak Ada Tilang Manual’, </w:t>
      </w:r>
      <w:r w:rsidR="00555661" w:rsidRPr="00555661">
        <w:rPr>
          <w:i/>
          <w:noProof/>
        </w:rPr>
        <w:t>Kompas.Com</w:t>
      </w:r>
      <w:r w:rsidR="00555661" w:rsidRPr="00555661">
        <w:rPr>
          <w:noProof/>
        </w:rPr>
        <w:t>, 2022 &lt;https://www.kompas.com/tren/read/2022/06/09/123000765/polri-gelar-operasi-patuh-13-26-juni-2022-tidak-ada-tilang-manual?page=all, 17&gt; [accessed 17 January 2023].</w:t>
      </w:r>
      <w:r>
        <w:fldChar w:fldCharType="end"/>
      </w:r>
    </w:p>
  </w:footnote>
  <w:footnote w:id="3">
    <w:p w14:paraId="229D5EAE" w14:textId="45B28202" w:rsidR="00DB5DEA" w:rsidRPr="00DB5DEA" w:rsidRDefault="00DB5DEA"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{"citationItems":[{"id":"ITEM-1","itemData":{"URL":"https://nasional.tempo.co/read/1649107/kapolri-melarang-tindakan-tilang-manualapa-itu-etle#:~:text=Mengutip laman ETLE Korlantas%2C electronic,dan ketertiban dalam lalu lintas","accessed":{"date-parts":[["2022","12","12"]]},"author":[{"dropping-particle":"","family":"Syaifulloh","given":"Muhammad","non-dropping-particle":"","parse-names":false,"suffix":""}],"container-title":"tempo.co","id":"ITEM-1","issued":{"date-parts":[["2022"]]},"title":"Kapolri Melarang Tindakan Tilang Manual, Apa Itu ETLE?","type":"webpage"},"uris":["http://www.mendeley.com/documents/?uuid=0a01af91-80e0-493a-940f-aede9ecebc34"]}],"mendeley":{"formattedCitation":"Muhammad Syaifulloh, ‘Kapolri Melarang Tindakan Tilang Manual, Apa Itu ETLE?’, &lt;i&gt;Tempo.Co&lt;/i&gt;, 2022 &lt;https://nasional.tempo.co/read/1649107/kapolri-melarang-tindakan-tilang-manualapa-itu-etle#:~:text=Mengutip laman ETLE Korlantas%2C electronic,dan ketertiban dalam lalu lintas&gt; [accessed 12 December 2022].","plainTextFormattedCitation":"Muhammad Syaifulloh, ‘Kapolri Melarang Tindakan Tilang Manual, Apa Itu ETLE?’, Tempo.Co, 2022  [accessed 12 December 2022].","previouslyFormattedCitation":"Muhammad Syaifulloh, ‘Kapolri Melarang Tindakan Tilang Manual, Apa Itu ETLE?’, &lt;i&gt;Tempo.Co&lt;/i&gt;, 2022 &lt;https://nasional.tempo.co/read/1649107/kapolri-melarang-tindakan-tilang-manualapa-itu-etle#:~:text=Mengutip laman ETLE Korlantas%2C electronic,dan ketertiban dalam lalu lintas&gt; [accessed 12 December 2022]."},"properties":{"noteIndex":3},"schema":"https://github.com/citation-style-language/schema/raw/master/csl-citation.json"}</w:instrText>
      </w:r>
      <w:r>
        <w:fldChar w:fldCharType="separate"/>
      </w:r>
      <w:r w:rsidR="00555661" w:rsidRPr="00555661">
        <w:rPr>
          <w:noProof/>
        </w:rPr>
        <w:t xml:space="preserve">Muhammad Syaifulloh, ‘Kapolri Melarang Tindakan Tilang Manual, Apa Itu ETLE?’, </w:t>
      </w:r>
      <w:r w:rsidR="00555661" w:rsidRPr="00555661">
        <w:rPr>
          <w:i/>
          <w:noProof/>
        </w:rPr>
        <w:t>Tempo.Co</w:t>
      </w:r>
      <w:r w:rsidR="00555661" w:rsidRPr="00555661">
        <w:rPr>
          <w:noProof/>
        </w:rPr>
        <w:t>, 2022 &lt;https://nasional.tempo.co/read/1649107/kapolri-melarang-tindakan-tilang-manualapa-itu-etle#:~:text=Mengutip laman ETLE Korlantas%2C electronic,dan ketertiban dalam lalu lintas&gt; [accessed 12 December 2022].</w:t>
      </w:r>
      <w:r>
        <w:fldChar w:fldCharType="end"/>
      </w:r>
    </w:p>
  </w:footnote>
  <w:footnote w:id="4">
    <w:p w14:paraId="17C1C99B" w14:textId="37E214E5" w:rsidR="00DB5DEA" w:rsidRPr="00DB5DEA" w:rsidRDefault="00DB5DEA" w:rsidP="00DD1432">
      <w:pPr>
        <w:pStyle w:val="TeksCatatanKaki"/>
        <w:jc w:val="both"/>
        <w:rPr>
          <w:lang w:val="en-US"/>
        </w:rPr>
      </w:pPr>
      <w:r>
        <w:rPr>
          <w:rStyle w:val="ReferensiCatatanKaki"/>
        </w:rPr>
        <w:footnoteRef/>
      </w:r>
      <w:r>
        <w:t xml:space="preserve"> </w:t>
      </w:r>
      <w:r>
        <w:fldChar w:fldCharType="begin" w:fldLock="1"/>
      </w:r>
      <w:r w:rsidR="000E36B9">
        <w:instrText>ADDIN CSL_CITATION {"citationItems":[{"id":"ITEM-1","itemData":{"DOI":"https://doi.org/10.53625/jirk.v1i8.1078","abstract":"Penelitian ini membahas tentang Analisis Program Electronic Traffic Law Enforcement dan menganalisis mekanisme serta sanksi hukum program Electronic Traffic Law Enforcement dalam rangka menciptakan Kamseltibcarlantas di wilayah Kota Serang. Sebagai ibu kota Provinsi Banten, Kota Serang Memiliki mobilitas yang cukup tinggi, Direktorat Lalu Lintas memiliki tantangan untuk menciptakan lalu lintas yang Aman, selamat, tertib dan lancar kepada seluruh masyarakat Kota Serang. Metode penelitian yang digunakan dalam penelitian ini adalah menggunakan metode kualitatif deskriptif. Keamanan, keselamatan, ketertiban, kelancaran lalu lintas (Kamseltibcarlantas) merupakan tujuan yang diinginkan setiap pengguna jalan. Perilaku pengguna jalan sangat berpengaruh terhadap terwujud atau tidaknya Kamseltibcarlantas. Penelitian ini menemukan bahwa Kehadiran Electronic Traffic Law Enforcement di Kota Serang ini sebetulnya mampu untuk memberikan pengaruh kepada masyarakat untuk semakin meningkatkan kesadaran hukum akan tertib lalu lintas. Akan tetapi, dalam praktik di lapangan masih belum dilaksanakan secara maksimal dikarenakan beberapa faktor kendala, yaitu Sumber Daya Manusia, anggaran, sarana/ prasarana, dan budaya masyarakat. Oleh karena itu, diperlukan adanya perbaikan dan evaluasi terkait dengan penerapan Electronic Traffic Law Enforcement agar lebih maksimal dalam penerapannya.","author":[{"dropping-particle":"","family":"Charles Rio Valentine Pardede, Surya Nita","given":"Chairul Muriman Setyabudi","non-dropping-particle":"","parse-names":false,"suffix":""}],"container-title":"Journal of Innovation Research and Knowledge","id":"ITEM-1","issue":"8","issued":{"date-parts":[["2022"]]},"page":"533-542","title":"Analisis Program Electronic Traffic Law Enforcement (ETLE) dalam Rangka Menciptakan Kamseltibcarlantas (Studi Kasus Kota Serang)","type":"article-journal","volume":"1"},"uris":["http://www.mendeley.com/documents/?uuid=3faef16d-f9d6-423c-b67a-d5e71ed99a6b"]}],"mendeley":{"formattedCitation":"Chairul Muriman Setyabudi Charles Rio Valentine Pardede, Surya Nita, ‘Analisis Program Electronic Traffic Law Enforcement (ETLE) Dalam Rangka Menciptakan Kamseltibcarlantas (Studi Kasus Kota Serang)’, &lt;i&gt;Journal of Innovation Research and Knowledge&lt;/i&gt;, 1.8 (2022), 533–42 &lt;https://doi.org/https://doi.org/10.53625/jirk.v1i8.1078&gt;.","manualFormatting":"Chairul Muriman Setyabudi Charles Rio Valentine Pardede, Surya Nita, ‘Analisis Program Electronic Traffic Law Enforcement (ETLE) Dalam Rangka Menciptakan Kamseltibcarlantas (Studi Kasus Kota Serang)’, Journal of Innovation Research and Knowledge, 1.8 (2022), 533–42 \u000b.","plainTextFormattedCitation":"Chairul Muriman Setyabudi Charles Rio Valentine Pardede, Surya Nita, ‘Analisis Program Electronic Traffic Law Enforcement (ETLE) Dalam Rangka Menciptakan Kamseltibcarlantas (Studi Kasus Kota Serang)’, Journal of Innovation Research and Knowledge, 1.8 (2022), 533–42 .","previouslyFormattedCitation":"Chairul Muriman Setyabudi Charles Rio Valentine Pardede, Surya Nita, ‘Analisis Program Electronic Traffic Law Enforcement (ETLE) Dalam Rangka Menciptakan Kamseltibcarlantas (Studi Kasus Kota Serang)’, &lt;i&gt;Journal of Innovation Research and Knowledge&lt;/i&gt;, 1.8 (2022), 533–42 &lt;https://doi.org/https://doi.org/10.53625/jirk.v1i8.1078&gt;."},"properties":{"noteIndex":4},"schema":"https://github.com/citation-style-language/schema/raw/master/csl-citation.json"}</w:instrText>
      </w:r>
      <w:r>
        <w:fldChar w:fldCharType="separate"/>
      </w:r>
      <w:r w:rsidRPr="00DB5DEA">
        <w:rPr>
          <w:noProof/>
        </w:rPr>
        <w:t xml:space="preserve">Chairul Muriman Setyabudi Charles Rio Valentine Pardede, Surya Nita, ‘Analisis Program Electronic Traffic Law Enforcement (ETLE) Dalam Rangka Menciptakan Kamseltibcarlantas (Studi Kasus Kota Serang)’, </w:t>
      </w:r>
      <w:r w:rsidRPr="00DB5DEA">
        <w:rPr>
          <w:i/>
          <w:noProof/>
        </w:rPr>
        <w:t>Journal of Innovation Research and Knowledge</w:t>
      </w:r>
      <w:r w:rsidRPr="00DB5DEA">
        <w:rPr>
          <w:noProof/>
        </w:rPr>
        <w:t xml:space="preserve">, 1.8 (2022), 533–42 </w:t>
      </w:r>
      <w:r w:rsidR="003A07FF">
        <w:rPr>
          <w:noProof/>
        </w:rPr>
        <w:br/>
      </w:r>
      <w:r w:rsidRPr="00DB5DEA">
        <w:rPr>
          <w:noProof/>
        </w:rPr>
        <w:t>&lt;https://doi.org/https://doi.org/10.53625/jirk.v1i8.1078&gt;.</w:t>
      </w:r>
      <w:r>
        <w:fldChar w:fldCharType="end"/>
      </w:r>
      <w:r w:rsidR="000E36B9">
        <w:t>a</w:t>
      </w:r>
    </w:p>
  </w:footnote>
  <w:footnote w:id="5">
    <w:p w14:paraId="69EACEF9" w14:textId="5EB7C5DA" w:rsidR="000E36B9" w:rsidRPr="000E36B9" w:rsidRDefault="000E36B9" w:rsidP="00DD1432">
      <w:pPr>
        <w:pStyle w:val="TeksCatatanKaki"/>
        <w:jc w:val="both"/>
        <w:rPr>
          <w:lang w:val="en-US"/>
        </w:rPr>
      </w:pPr>
      <w:r>
        <w:rPr>
          <w:rStyle w:val="ReferensiCatatanKaki"/>
        </w:rPr>
        <w:footnoteRef/>
      </w:r>
      <w:r>
        <w:t xml:space="preserve"> </w:t>
      </w:r>
      <w:r>
        <w:fldChar w:fldCharType="begin" w:fldLock="1"/>
      </w:r>
      <w:r w:rsidR="00F90779">
        <w:instrText>ADDIN CSL_CITATION {"citationItems":[{"id":"ITEM-1","itemData":{"DOI":"10.37159/jmih.v4i2.1743","abstract":"To keep up with technological developments, the Police issued a new system in enforcing traffic rules called ETLE (Electronic Traffic Law Enforcement). ETLE is a traffic law enforcement system based on information technology using electronic devices in the form of cameras that can detect various types of traffic violations and present motor vehicle data automatically (automatic number plate recognition). ETLE camera footage can be used as evidence in traffic violation cases. The use of ETLE is also a form of Polri's contribution in realizing D.I Yogyakarta as a smart city and in line with bureaucratic reform. Another benefit is increasing the culture of public order in traffic, which is the deterrence effect of the ETLE system. This study uses the type of Empirical Legal Research is a legal research method that uses empirical facts taken from human behavior, both verbal behavior obtained from interviews and real behavior through direct observation. Ditlantas Polda DIY acts as an innovator in the development of a law enforcement system against traffic violations with an information technology approach. ETLE can be said to be one of the methods of taking action against violations that has a positive impact on reducing the number of traffic violations. From an internal police perspective, the effectiveness of using ETLE is that there is no friction and complaints from the public to traffic police officers. The obstacle faced in implementing ETLE is that people object because they feel they do not violate traffic rules and the vehicle is being borrowed by another party.This is because socialization related to legislation, regulations, and legal principles has not been conveyed massively in the community. Another obstacle in terms of facilities and infrastructure is that ETLE devices can only record four types of violations on 4-wheeled vehicles, namely violations of using safety belts, using cellphones while driving, violating markings and violating traffic lights","author":[{"dropping-particle":"","family":"Tetuko","given":"Mega","non-dropping-particle":"","parse-names":false,"suffix":""},{"dropping-particle":"","family":"Harjiyatni","given":"Fransisca Romana","non-dropping-particle":"","parse-names":false,"suffix":""}],"container-title":"Kajian Hasil Penelitian Hukum","id":"ITEM-1","issue":"2","issued":{"date-parts":[["2022"]]},"title":"Penerapan Electronic Traffic Law Enforcement (ETLE) dalam Penindakan Pelanggaran Lalu Lintas (Studi di Wilayah Hukum Polda DIY)","type":"article-journal","volume":"4"},"uris":["http://www.mendeley.com/documents/?uuid=1a431df8-ca4b-4a82-abd6-f496eea2f678"]}],"mendeley":{"formattedCitation":"Mega Tetuko and Fransisca Romana Harjiyatni, ‘Penerapan Electronic Traffic Law Enforcement (ETLE) Dalam Penindakan Pelanggaran Lalu Lintas (Studi Di Wilayah Hukum Polda DIY)’, &lt;i&gt;Kajian Hasil Penelitian Hukum&lt;/i&gt;, 4.2 (2022) &lt;https://doi.org/10.37159/jmih.v4i2.1743&gt;.","plainTextFormattedCitation":"Mega Tetuko and Fransisca Romana Harjiyatni, ‘Penerapan Electronic Traffic Law Enforcement (ETLE) Dalam Penindakan Pelanggaran Lalu Lintas (Studi Di Wilayah Hukum Polda DIY)’, Kajian Hasil Penelitian Hukum, 4.2 (2022) .","previouslyFormattedCitation":"Mega Tetuko and Fransisca Romana Harjiyatni, ‘Penerapan Electronic Traffic Law Enforcement (ETLE) Dalam Penindakan Pelanggaran Lalu Lintas (Studi Di Wilayah Hukum Polda DIY)’, &lt;i&gt;Kajian Hasil Penelitian Hukum&lt;/i&gt;, 4.2 (2022) &lt;https://doi.org/10.37159/jmih.v4i2.1743&gt;."},"properties":{"noteIndex":5},"schema":"https://github.com/citation-style-language/schema/raw/master/csl-citation.json"}</w:instrText>
      </w:r>
      <w:r>
        <w:fldChar w:fldCharType="separate"/>
      </w:r>
      <w:r w:rsidR="00555661" w:rsidRPr="00555661">
        <w:rPr>
          <w:noProof/>
        </w:rPr>
        <w:t xml:space="preserve">Mega Tetuko and Fransisca Romana Harjiyatni, ‘Penerapan Electronic Traffic Law Enforcement (ETLE) Dalam Penindakan Pelanggaran Lalu Lintas (Studi Di Wilayah Hukum Polda DIY)’, </w:t>
      </w:r>
      <w:r w:rsidR="00555661" w:rsidRPr="00555661">
        <w:rPr>
          <w:i/>
          <w:noProof/>
        </w:rPr>
        <w:t>Kajian Hasil Penelitian Hukum</w:t>
      </w:r>
      <w:r w:rsidR="00555661" w:rsidRPr="00555661">
        <w:rPr>
          <w:noProof/>
        </w:rPr>
        <w:t>, 4.2 (2022) &lt;https://doi.org/10.37159/jmih.v4i2.1743&gt;.</w:t>
      </w:r>
      <w:r>
        <w:fldChar w:fldCharType="end"/>
      </w:r>
    </w:p>
  </w:footnote>
  <w:footnote w:id="6">
    <w:p w14:paraId="5CE5B7B8" w14:textId="52E9D047" w:rsidR="00F90779" w:rsidRPr="00F90779" w:rsidRDefault="00F90779" w:rsidP="00DD1432">
      <w:pPr>
        <w:pStyle w:val="TeksCatatanKaki"/>
        <w:jc w:val="both"/>
        <w:rPr>
          <w:lang w:val="en-US"/>
        </w:rPr>
      </w:pPr>
      <w:r>
        <w:rPr>
          <w:rStyle w:val="ReferensiCatatanKaki"/>
        </w:rPr>
        <w:footnoteRef/>
      </w:r>
      <w:r>
        <w:t xml:space="preserve"> </w:t>
      </w:r>
      <w:r>
        <w:fldChar w:fldCharType="begin" w:fldLock="1"/>
      </w:r>
      <w:r w:rsidR="00DD63C2">
        <w:instrText>ADDIN CSL_CITATION {"citationItems":[{"id":"ITEM-1","itemData":{"abstract":"… dari penelitian ini yaitu untuk mengetahui efektivitas penerapan pidana denda pelanggaran lalu lintas di … Bagaimanakah upaya penanggulangan yang dilakukan oleh Polres Klungkung …","author":[{"dropping-particle":"","family":"Sudarsa","given":"I Kadek Edy","non-dropping-particle":"","parse-names":false,"suffix":""}],"container-title":"Jurnal Kertha Desa","id":"ITEM-1","issue":"22","issued":{"date-parts":[["2009"]]},"page":"53-63","title":"Efektivitas Penerapan Pidana Denda Dalam Pelanggaran Lalu Lintas (Studi Di Wilayah Hukum Polres Klungkung)","type":"article-journal","volume":"9"},"uris":["http://www.mendeley.com/documents/?uuid=23eac145-46f0-4f5b-83bc-72f585b38974"]}],"mendeley":{"formattedCitation":"I Kadek Edy Sudarsa, ‘Efektivitas Penerapan Pidana Denda Dalam Pelanggaran Lalu Lintas (Studi Di Wilayah Hukum Polres Klungkung)’, &lt;i&gt;Jurnal Kertha Desa&lt;/i&gt;, 9.22 (2009), 53–63.","plainTextFormattedCitation":"I Kadek Edy Sudarsa, ‘Efektivitas Penerapan Pidana Denda Dalam Pelanggaran Lalu Lintas (Studi Di Wilayah Hukum Polres Klungkung)’, Jurnal Kertha Desa, 9.22 (2009), 53–63.","previouslyFormattedCitation":"I Kadek Edy Sudarsa, ‘Efektivitas Penerapan Pidana Denda Dalam Pelanggaran Lalu Lintas (Studi Di Wilayah Hukum Polres Klungkung)’, &lt;i&gt;Jurnal Kertha Desa&lt;/i&gt;, 9.22 (2009), 53–63."},"properties":{"noteIndex":6},"schema":"https://github.com/citation-style-language/schema/raw/master/csl-citation.json"}</w:instrText>
      </w:r>
      <w:r>
        <w:fldChar w:fldCharType="separate"/>
      </w:r>
      <w:r w:rsidRPr="00F90779">
        <w:rPr>
          <w:noProof/>
        </w:rPr>
        <w:t xml:space="preserve">I Kadek Edy Sudarsa, ‘Efektivitas Penerapan Pidana Denda Dalam Pelanggaran Lalu Lintas (Studi Di Wilayah Hukum Polres Klungkung)’, </w:t>
      </w:r>
      <w:r w:rsidRPr="00F90779">
        <w:rPr>
          <w:i/>
          <w:noProof/>
        </w:rPr>
        <w:t>Jurnal Kertha Desa</w:t>
      </w:r>
      <w:r w:rsidRPr="00F90779">
        <w:rPr>
          <w:noProof/>
        </w:rPr>
        <w:t>, 9.22 (2009), 53–63.</w:t>
      </w:r>
      <w:r>
        <w:fldChar w:fldCharType="end"/>
      </w:r>
    </w:p>
  </w:footnote>
  <w:footnote w:id="7">
    <w:p w14:paraId="695C0BE2" w14:textId="3D07B3D4" w:rsidR="00DD63C2" w:rsidRPr="00DD63C2" w:rsidRDefault="00DD63C2"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{"citationItems":[{"id":"ITEM-1","itemData":{"abstract":"… Keywords: Innovation, Service, Tilang Electronic … e. Dan pihak-pihak lainnya yang memberi dukungan moral maupun material kepada peneliti sehingga penulisan jurnal ini dapat terselesaikan … Dwiyanto, Agus. 2008. Mewujudkan Good Governance Melalui Pelayanan Publik …","author":[{"dropping-particle":"","family":"Salsabila","given":"F","non-dropping-particle":"","parse-names":false,"suffix":""}],"container-title":"Publika","id":"ITEM-1","issue":"2","issued":{"date-parts":[["2018"]]},"title":"Inovasi Program Elektronik Tilang (E-Tilang) Dalam Meningkatkan Pelayanan Publik di Kepolisian Resort (Polres) Kediri","type":"article-journal","volume":"6"},"uris":["http://www.mendeley.com/documents/?uuid=ded78e0f-7f00-409c-b196-162a287dbf35"]}],"mendeley":{"formattedCitation":"F Salsabila, ‘Inovasi Program Elektronik Tilang (E-Tilang) Dalam Meningkatkan Pelayanan Publik Di Kepolisian Resort (Polres) Kediri’, &lt;i&gt;Publika&lt;/i&gt;, 6.2 (2018).","plainTextFormattedCitation":"F Salsabila, ‘Inovasi Program Elektronik Tilang (E-Tilang) Dalam Meningkatkan Pelayanan Publik Di Kepolisian Resort (Polres) Kediri’, Publika, 6.2 (2018).","previouslyFormattedCitation":"F Salsabila, ‘Inovasi Program Elektronik Tilang (E-Tilang) Dalam Meningkatkan Pelayanan Publik Di Kepolisian Resort (Polres) Kediri’, &lt;i&gt;Publika&lt;/i&gt;, 6.2 (2018)."},"properties":{"noteIndex":7},"schema":"https://github.com/citation-style-language/schema/raw/master/csl-citation.json"}</w:instrText>
      </w:r>
      <w:r>
        <w:fldChar w:fldCharType="separate"/>
      </w:r>
      <w:r w:rsidRPr="00DD63C2">
        <w:rPr>
          <w:noProof/>
        </w:rPr>
        <w:t xml:space="preserve">F Salsabila, ‘Inovasi Program Elektronik Tilang (E-Tilang) Dalam Meningkatkan Pelayanan Publik Di Kepolisian Resort (Polres) Kediri’, </w:t>
      </w:r>
      <w:r w:rsidRPr="00DD63C2">
        <w:rPr>
          <w:i/>
          <w:noProof/>
        </w:rPr>
        <w:t>Publika</w:t>
      </w:r>
      <w:r w:rsidRPr="00DD63C2">
        <w:rPr>
          <w:noProof/>
        </w:rPr>
        <w:t>, 6.2 (2018).</w:t>
      </w:r>
      <w:r>
        <w:fldChar w:fldCharType="end"/>
      </w:r>
    </w:p>
  </w:footnote>
  <w:footnote w:id="8">
    <w:p w14:paraId="693CACDF" w14:textId="711376C8" w:rsidR="00DD63C2" w:rsidRPr="00DD63C2" w:rsidRDefault="00DD63C2" w:rsidP="00DD1432">
      <w:pPr>
        <w:pStyle w:val="TeksCatatanKaki"/>
        <w:jc w:val="both"/>
        <w:rPr>
          <w:lang w:val="en-US"/>
        </w:rPr>
      </w:pPr>
      <w:r>
        <w:rPr>
          <w:rStyle w:val="ReferensiCatatanKaki"/>
        </w:rPr>
        <w:footnoteRef/>
      </w:r>
      <w:r>
        <w:t xml:space="preserve"> </w:t>
      </w:r>
      <w:r>
        <w:fldChar w:fldCharType="begin" w:fldLock="1"/>
      </w:r>
      <w:r w:rsidR="00FA1629">
        <w:instrText>ADDIN CSL_CITATION {"citationItems":[{"id":"ITEM-1","itemData":{"URL":"https://regional.kompas.com/read/2021/03/24/104926778/78-pengendara-di-purwokerto-terjaring-tilang-etle-di-hari-pertama-ini-jenis","accessed":{"date-parts":[["2023","2","15"]]},"author":[{"dropping-particle":"","family":"Wismabrata","given":"Michael Hangga","non-dropping-particle":"","parse-names":false,"suffix":""}],"container-title":"Kompas.com","id":"ITEM-1","issued":{"date-parts":[["2021"]]},"title":"78 Pengendara di Purwokerto Terjaring Tilang ETLE di Hari Pertama, Ini Jenis Pelanggarannya","type":"webpage"},"uris":["http://www.mendeley.com/documents/?uuid=69ab753f-b83c-415a-98fb-ccb692c4b352"]}],"mendeley":{"formattedCitation":"Michael Hangga Wismabrata, ‘78 Pengendara Di Purwokerto Terjaring Tilang ETLE Di Hari Pertama, Ini Jenis Pelanggarannya’, &lt;i&gt;Kompas.Com&lt;/i&gt;, 2021 &lt;https://regional.kompas.com/read/2021/03/24/104926778/78-pengendara-di-purwokerto-terjaring-tilang-etle-di-hari-pertama-ini-jenis&gt; [accessed 15 February 2023].","manualFormatting":"Michael Hangga Wismabrata, ‘78 Pengendara Di Purwokerto Terjaring Tilang ETLE Di Hari Pertama, Ini Jenis Pelanggarannya’, Kompas.Com, 2021 \u000b [accessed 15 February 2023].","plainTextFormattedCitation":"Michael Hangga Wismabrata, ‘78 Pengendara Di Purwokerto Terjaring Tilang ETLE Di Hari Pertama, Ini Jenis Pelanggarannya’, Kompas.Com, 2021  [accessed 15 February 2023].","previouslyFormattedCitation":"Michael Hangga Wismabrata, ‘78 Pengendara Di Purwokerto Terjaring Tilang ETLE Di Hari Pertama, Ini Jenis Pelanggarannya’, &lt;i&gt;Kompas.Com&lt;/i&gt;, 2021 &lt;https://regional.kompas.com/read/2021/03/24/104926778/78-pengendara-di-purwokerto-terjaring-tilang-etle-di-hari-pertama-ini-jenis&gt; [accessed 15 February 2023]."},"properties":{"noteIndex":8},"schema":"https://github.com/citation-style-language/schema/raw/master/csl-citation.json"}</w:instrText>
      </w:r>
      <w:r>
        <w:fldChar w:fldCharType="separate"/>
      </w:r>
      <w:r w:rsidRPr="00DD63C2">
        <w:rPr>
          <w:noProof/>
        </w:rPr>
        <w:t xml:space="preserve">Michael Hangga Wismabrata, ‘78 Pengendara Di Purwokerto Terjaring Tilang ETLE Di Hari Pertama, Ini Jenis Pelanggarannya’, </w:t>
      </w:r>
      <w:r w:rsidRPr="00DD63C2">
        <w:rPr>
          <w:i/>
          <w:noProof/>
        </w:rPr>
        <w:t>Kompas.Com</w:t>
      </w:r>
      <w:r w:rsidRPr="00DD63C2">
        <w:rPr>
          <w:noProof/>
        </w:rPr>
        <w:t xml:space="preserve">, 2021 </w:t>
      </w:r>
      <w:r>
        <w:rPr>
          <w:noProof/>
        </w:rPr>
        <w:br/>
      </w:r>
      <w:r w:rsidRPr="00DD63C2">
        <w:rPr>
          <w:noProof/>
        </w:rPr>
        <w:t>&lt;https://regional.kompas.com/read/2021/03/24/104926778/78-pengendara-di-purwokerto-terjaring-tilang-etle-di-hari-pertama-ini-jenis&gt; [accessed 15 February 2023].</w:t>
      </w:r>
      <w:r>
        <w:fldChar w:fldCharType="end"/>
      </w:r>
    </w:p>
  </w:footnote>
  <w:footnote w:id="9">
    <w:p w14:paraId="0B721E88" w14:textId="076642DE" w:rsidR="00854631" w:rsidRPr="00FA1629" w:rsidRDefault="00854631"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{"citationItems":[{"id":"ITEM-1","itemData":{"DOI":"10.24252/aldev.v2i1.13274","ISSN":"2714-8742","abstract":"Tulisan ini bertujuan untuk mengetahui problematika penerapan tilang elektronik dalam mengurangi pelanggaran lalu lintas yang terjadi di Kota Makassar. Jenis penelitian yang dilakukan menggunakan metode field research yaitu pengamatan lapangan dan wawancara dengan narasumber. Hasil penelitian ini menunjukkan bahwa, 1). Penerapan tilang elektronik di Wilayah Hukum Polrestabes Makassar merujuk pada UU No. 2 Tahun 2002, UU No. 22 Tahun 2009 Pasal 272, UU No.11 Tahun 2008 Pasal 5, program Kapolri Tentang pelayanan yang promoter, dan program kerja Kapolrestabes Makassar TA 2019. Hambatan-hambatan dalam penerapan tilang elektronik di Wilayah Hukum Polrestabes Makassar adalah sering terjadi: 1. Masalah kepemilikan kendaraan pelanggar lalu lintas, 2. Masih belum efektifnya langkah preventif untuk pelanggaran lalu lintas, serta masih kurangnya sosialisasi tentang proses penerapan tilang elektronik, yang di buktikan dengan data pelanggaran lalu lintas dari tahun 2017 sampai tahun 2019 mengalami peningkatan angka pelanggaran lalu lintas, 3. Pemasangan CCTV di Kota Makassar, hanya terdapat di beberapa titik, hal tersebut belum bisa menunjang untuk terjadinya kedisiplinan berlalu lintas.","author":[{"dropping-particle":"","family":"Aditya","given":"Sulis","non-dropping-particle":"","parse-names":false,"suffix":""},{"dropping-particle":"","family":"Safriani","given":"Andi","non-dropping-particle":"","parse-names":false,"suffix":""}],"container-title":"Alauddin Law Development Journal","id":"ITEM-1","issue":"1","issued":{"date-parts":[["2020"]]},"page":"74-80","title":"Problematika Penerapan Tilang Elektronik Dalam Mengurangi Pelanggaran Lalu Lintas","type":"article-journal","volume":"2"},"uris":["http://www.mendeley.com/documents/?uuid=caa17468-7e57-4ee0-bfb9-802c6917ad21"]}],"mendeley":{"formattedCitation":"Sulis Aditya and Andi Safriani, ‘Problematika Penerapan Tilang Elektronik Dalam Mengurangi Pelanggaran Lalu Lintas’, &lt;i&gt;Alauddin Law Development Journal&lt;/i&gt;, 2.1 (2020), 74–80 &lt;https://doi.org/10.24252/aldev.v2i1.13274&gt;.","plainTextFormattedCitation":"Sulis Aditya and Andi Safriani, ‘Problematika Penerapan Tilang Elektronik Dalam Mengurangi Pelanggaran Lalu Lintas’, Alauddin Law Development Journal, 2.1 (2020), 74–80 .","previouslyFormattedCitation":"Sulis Aditya and Andi Safriani, ‘Problematika Penerapan Tilang Elektronik Dalam Mengurangi Pelanggaran Lalu Lintas’, &lt;i&gt;Alauddin Law Development Journal&lt;/i&gt;, 2.1 (2020), 74–80 &lt;https://doi.org/10.24252/aldev.v2i1.13274&gt;."},"properties":{"noteIndex":9},"schema":"https://github.com/citation-style-language/schema/raw/master/csl-citation.json"}</w:instrText>
      </w:r>
      <w:r>
        <w:fldChar w:fldCharType="separate"/>
      </w:r>
      <w:r w:rsidR="00555661" w:rsidRPr="00555661">
        <w:rPr>
          <w:noProof/>
        </w:rPr>
        <w:t xml:space="preserve">Sulis Aditya and Andi Safriani, ‘Problematika Penerapan Tilang Elektronik Dalam Mengurangi Pelanggaran Lalu Lintas’, </w:t>
      </w:r>
      <w:r w:rsidR="00555661" w:rsidRPr="00555661">
        <w:rPr>
          <w:i/>
          <w:noProof/>
        </w:rPr>
        <w:t>Alauddin Law Development Journal</w:t>
      </w:r>
      <w:r w:rsidR="00555661" w:rsidRPr="00555661">
        <w:rPr>
          <w:noProof/>
        </w:rPr>
        <w:t>, 2.1 (2020), 74–80 &lt;https://doi.org/10.24252/aldev.v2i1.13274&gt;.</w:t>
      </w:r>
      <w:r>
        <w:fldChar w:fldCharType="end"/>
      </w:r>
    </w:p>
  </w:footnote>
  <w:footnote w:id="10">
    <w:p w14:paraId="3409EDFF" w14:textId="51AF7755" w:rsidR="00854631" w:rsidRPr="00FA1629" w:rsidRDefault="00854631"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{"citationItems":[{"id":"ITEM-1","itemData":{"DOI":"10.31599/krtha.v14i2.148","ISSN":"1978-8991","abstract":"Penggunaan kendaraan bermotor dalam kehidupan sehari-hari dapat memberikan dampak negatif yaitu kemacetan dan kecelakaan lalu lintas yang berasal dari pelanggaran lalu lintas sehingga memerlukan upaya penegakan hukum yang saat ini telah menggunakan tilang elektronik, namun dapat menjadi permasalahan apabila kendaraan bermotor yang terlibat pelanggaran lalu lintas telah berpindah kepemilikan atau dikemudikan oleh orang lain. Penelitian ini adalah penelitian yuridis empiris dengan menggunakan pendekatan kasus. Teknik pengumpulan data melalui penelitian lapangan. Hasil penelitian menunjukkan bahwa efektivitas penerapan Tilang elektronik terhadap pelanggaran lalu lintas di wilayah hukum Polda Metro Jaya belum maksimal dalam menanggulangi pelanggaran lalu lintas karena kamera ETLE hanya dapat mendeteksi jenis-jenis pelanggaran tertentu. Faktor-faktor yang mempengaruhi efektivitas penerapan Tilang Elektronik yaitu faktor substansi hukum yang belum diatur dalam Peraturan Kapolri, faktor penegak hukum, faktor sarana atau fasilitas, faktor budaya hukum masyarakat, serta faktor alam atau lingkungan.","author":[{"dropping-particle":"","family":"Amin","given":"Rahman","non-dropping-particle":"","parse-names":false,"suffix":""},{"dropping-particle":"","family":"Pratama","given":"Alfin","non-dropping-particle":"","parse-names":false,"suffix":""},{"dropping-particle":"","family":"Manalu","given":"Iren","non-dropping-particle":"","parse-names":false,"suffix":""}],"container-title":"KRTHA BHAYANGKARA","id":"ITEM-1","issue":"2","issued":{"date-parts":[["2020"]]},"page":"134-155","title":"Efektivitas Penerapan Tilang Elektronik Terhadap Pelanggaran Lalu Lintas di Wilayah Hukum Polda Metro Jaya","type":"article-journal","volume":"14"},"uris":["http://www.mendeley.com/documents/?uuid=b02c004c-39df-4eb1-b13a-80f4ad8a5270"]}],"mendeley":{"formattedCitation":"Rahman Amin, Alfin Pratama, and Iren Manalu, ‘Efektivitas Penerapan Tilang Elektronik Terhadap Pelanggaran Lalu Lintas Di Wilayah Hukum Polda Metro Jaya’, &lt;i&gt;KRTHA BHAYANGKARA&lt;/i&gt;, 14.2 (2020), 134–55 &lt;https://doi.org/10.31599/krtha.v14i2.148&gt;.","plainTextFormattedCitation":"Rahman Amin, Alfin Pratama, and Iren Manalu, ‘Efektivitas Penerapan Tilang Elektronik Terhadap Pelanggaran Lalu Lintas Di Wilayah Hukum Polda Metro Jaya’, KRTHA BHAYANGKARA, 14.2 (2020), 134–55 .","previouslyFormattedCitation":"Rahman Amin, Alfin Pratama, and Iren Manalu, ‘Efektivitas Penerapan Tilang Elektronik Terhadap Pelanggaran Lalu Lintas Di Wilayah Hukum Polda Metro Jaya’, &lt;i&gt;KRTHA BHAYANGKARA&lt;/i&gt;, 14.2 (2020), 134–55 &lt;https://doi.org/10.31599/krtha.v14i2.148&gt;."},"properties":{"noteIndex":10},"schema":"https://github.com/citation-style-language/schema/raw/master/csl-citation.json"}</w:instrText>
      </w:r>
      <w:r>
        <w:fldChar w:fldCharType="separate"/>
      </w:r>
      <w:r w:rsidR="00555661" w:rsidRPr="00555661">
        <w:rPr>
          <w:noProof/>
        </w:rPr>
        <w:t xml:space="preserve">Rahman Amin, Alfin Pratama, and Iren Manalu, ‘Efektivitas Penerapan Tilang Elektronik Terhadap Pelanggaran Lalu Lintas Di Wilayah Hukum Polda Metro Jaya’, </w:t>
      </w:r>
      <w:r w:rsidR="00555661" w:rsidRPr="00555661">
        <w:rPr>
          <w:i/>
          <w:noProof/>
        </w:rPr>
        <w:t>KRTHA BHAYANGKARA</w:t>
      </w:r>
      <w:r w:rsidR="00555661" w:rsidRPr="00555661">
        <w:rPr>
          <w:noProof/>
        </w:rPr>
        <w:t>, 14.2 (2020), 134–55 &lt;https://doi.org/10.31599/krtha.v14i2.148&gt;.</w:t>
      </w:r>
      <w:r>
        <w:fldChar w:fldCharType="end"/>
      </w:r>
    </w:p>
  </w:footnote>
  <w:footnote w:id="11">
    <w:p w14:paraId="7BFC1804" w14:textId="77777777" w:rsidR="00854631" w:rsidRPr="00F52906" w:rsidRDefault="00854631" w:rsidP="00DD1432">
      <w:pPr>
        <w:pStyle w:val="TeksCatatanKaki"/>
        <w:jc w:val="both"/>
        <w:rPr>
          <w:lang w:val="en-US"/>
        </w:rPr>
      </w:pPr>
      <w:r>
        <w:rPr>
          <w:rStyle w:val="ReferensiCatatanKaki"/>
        </w:rPr>
        <w:footnoteRef/>
      </w:r>
      <w:r>
        <w:t xml:space="preserve"> </w:t>
      </w:r>
      <w:r w:rsidRPr="00555661">
        <w:fldChar w:fldCharType="begin" w:fldLock="1"/>
      </w:r>
      <w:r w:rsidRPr="00555661">
        <w:instrText>ADDIN CSL_CITATION {"citationItems":[{"id":"ITEM-1","itemData":{"abstract":"Beberapa faktor yang menyebabkan terjadinya pelanggaran lalu lintas oleh pengguna jalan diantaranya adalah kesadaran masyarakat masih kurang, sarana dan prasarana jalan kurang memadai, serta ketidakhadiran aparat kepolisian secara fisik. Hal tersebut merupakan salah faktor tingginya jumlah pelanggaran pada tahun 2021 dimana terjadi sebanyak 307.752 pelanggaran. Hal tersebut menuntut adanya inovasi, dimana teknologi e-Tilang menjadi prioritas. Penelitian ini bertujuan untuk mengetahui Implementasi Pemberlakuan e-Tilang terhadap pelanggar lalu lintas di wilayah hukum Polrestabes Semarang dan menganalisis cara mengatasi hambatan dalam implementasi Pemberlakuan e-Tilang tersebut. Berdasarkan data pelanggaran Tahun 2022 dari Satlantas Polrestabes Semarang mulai bulan Januari sampai dengan Desember, pelanggaran yang ditangani diantaranya adalah berat muatan, kecepatan berkendara, pelanggaran marka/rambu, ketidaklengkapan surat-surat, tidak terpenuhinya syarat perlengkapan, pengendara yang minum obat terlarang/minuman keras atau lain-lain. Dimana jumlah pelanggaran terbesar terjadi pada bulan september 2022 sebanyak 4.215 kasus pelanggaran dan yang terendah pada bulan Februari dengan jumlah kasus 318 pelanggaran. Jika dilihat dari penggolongan atau jenis pelanggaran maka, pelanggaran marka atau rambu adalah yang paling tinggi yaitu sebanyak 1712 kasus di bulan September dan yang paling rendah adalah pelanggaran syarat perlengkapan dalam berkendara yakni sebanyak 19 kasus di bulan Maret. Implementasi Pemberlakuan e-Tilang Terhadap Pelanggar Lalu Lintas oleh Polrestabes Semarang berjalan dari Tahun 2022 dengan cara menilang melalui posko Etle. Dasar hukum peraturan implementasi e-Tilang ialah Pasal 5 Undang-Undang Nomor 11 Tahun 2008 Tentang Informasi dan Transasksi Elektronik, Pasal 272 Undang-Undang Nomor 22 Tahun 2009 tentang Lalu Lintas dan Angkutan Jalan, Pasal 13 dan 23 Peraturan Pemerintah Nomor 80 Tahun 2012 tentang Tata Cara Pemeriksaan Kendaraan di Jalan dan Penindakan Pelanggaran Lalu Lintas Angkutan Jalan. Hasil wawancara penulis dengan Aipda Rio Sasongko, Baur Tilang Satlantas Polrestabes Semarang, ditemukan beberapa hambatan dalam pemberlakuan e-Tilang yaitu (1) Pelanggar secara sengaja melepas Plat Nomor, (2) Pelanggar secara sengaja mengaburkan Plat Nomor agar tidak bisa terbaca, dan (3) kendaraan yang sudah diperjualbelikan tidak langsung dibalik nama, namun tidak ditemukan hambatan dalam pemberkasan. Untuk mengatasi hambatan tersebut di lapanga…","author":[{"dropping-particle":"","family":"Sari","given":"Mukti","non-dropping-particle":"","parse-names":false,"suffix":""},{"dropping-particle":"","family":"Saputra","given":"Arikha","non-dropping-particle":"","parse-names":false,"suffix":""}],"container-title":"Jurnal Komunikasi Hukum","id":"ITEM-1","issued":{"date-parts":[["2023"]]},"title":"Implementasi Pemberlakuan E-Tilang Terhadap Pelanggaran Lalu Lintas Oleh Polrestabes Semarang","type":"article-journal"},"uris":["http://www.mendeley.com/documents/?uuid=e12b7a1a-61ab-41b0-b194-2d5d25ac6d45","http://www.mendeley.com/documents/?uuid=d1393b65-d544-4f59-8c98-3446e5223a4e"]}],"mendeley":{"formattedCitation":"Mukti Sari and Arikha Saputra, ‘Implementasi Pemberlakuan E-Tilang Terhadap Pelanggaran Lalu Lintas Oleh Polrestabes Semarang’, &lt;i&gt;Jurnal Komunikasi Hukum&lt;/i&gt;, 2023.","plainTextFormattedCitation":"Mukti Sari and Arikha Saputra, ‘Implementasi Pemberlakuan E-Tilang Terhadap Pelanggaran Lalu Lintas Oleh Polrestabes Semarang’, Jurnal Komunikasi Hukum, 2023.","previouslyFormattedCitation":"Mukti Sari and Arikha Saputra, ‘Implementasi Pemberlakuan E-Tilang Terhadap Pelanggaran Lalu Lintas Oleh Polrestabes Semarang’, &lt;i&gt;Jurnal Komunikasi Hukum&lt;/i&gt;, 2023."},"properties":{"noteIndex":11},"schema":"https://github.com/citation-style-language/schema/raw/master/csl-citation.json"}</w:instrText>
      </w:r>
      <w:r w:rsidRPr="00555661">
        <w:fldChar w:fldCharType="separate"/>
      </w:r>
      <w:r w:rsidRPr="00555661">
        <w:rPr>
          <w:noProof/>
        </w:rPr>
        <w:t xml:space="preserve">Mukti Sari and Arikha Saputra, ‘Implementasi Pemberlakuan E-Tilang Terhadap Pelanggaran Lalu Lintas Oleh Polrestabes Semarang’, </w:t>
      </w:r>
      <w:r w:rsidRPr="00555661">
        <w:rPr>
          <w:i/>
          <w:noProof/>
        </w:rPr>
        <w:t>Jurnal Komunikasi Hukum</w:t>
      </w:r>
      <w:r w:rsidRPr="00555661">
        <w:rPr>
          <w:noProof/>
        </w:rPr>
        <w:t>, 2023.</w:t>
      </w:r>
      <w:r w:rsidRPr="00555661">
        <w:fldChar w:fldCharType="end"/>
      </w:r>
    </w:p>
  </w:footnote>
  <w:footnote w:id="12">
    <w:p w14:paraId="11323D21" w14:textId="77777777" w:rsidR="00854631" w:rsidRPr="005D4B24" w:rsidRDefault="00854631"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{"citationItems":[{"id":"ITEM-1","itemData":{"DOI":"10.31599/krtha.v14i2.148","ISSN":"1978-8991","abstract":"Penggunaan kendaraan bermotor dalam kehidupan sehari-hari dapat memberikan dampak negatif yaitu kemacetan dan kecelakaan lalu lintas yang berasal dari pelanggaran lalu lintas sehingga memerlukan upaya penegakan hukum yang saat ini telah menggunakan tilang elektronik, namun dapat menjadi permasalahan apabila kendaraan bermotor yang terlibat pelanggaran lalu lintas telah berpindah kepemilikan atau dikemudikan oleh orang lain. Penelitian ini adalah penelitian yuridis empiris dengan menggunakan pendekatan kasus. Teknik pengumpulan data melalui penelitian lapangan. Hasil penelitian menunjukkan bahwa efektivitas penerapan Tilang elektronik terhadap pelanggaran lalu lintas di wilayah hukum Polda Metro Jaya belum maksimal dalam menanggulangi pelanggaran lalu lintas karena kamera ETLE hanya dapat mendeteksi jenis-jenis pelanggaran tertentu. Faktor-faktor yang mempengaruhi efektivitas penerapan Tilang Elektronik yaitu faktor substansi hukum yang belum diatur dalam Peraturan Kapolri, faktor penegak hukum, faktor sarana atau fasilitas, faktor budaya hukum masyarakat, serta faktor alam atau lingkungan.","author":[{"dropping-particle":"","family":"Amin","given":"Rahman","non-dropping-particle":"","parse-names":false,"suffix":""},{"dropping-particle":"","family":"Pratama","given":"Alfin","non-dropping-particle":"","parse-names":false,"suffix":""},{"dropping-particle":"","family":"Manalu","given":"Iren","non-dropping-particle":"","parse-names":false,"suffix":""}],"container-title":"KRTHA BHAYANGKARA","id":"ITEM-1","issue":"2","issued":{"date-parts":[["2020"]]},"page":"134-155","title":"Efektivitas Penerapan Tilang Elektronik Terhadap Pelanggaran Lalu Lintas di Wilayah Hukum Polda Metro Jaya","type":"article-journal","volume":"14"},"uris":["http://www.mendeley.com/documents/?uuid=b02c004c-39df-4eb1-b13a-80f4ad8a5270"]}],"mendeley":{"formattedCitation":"Amin, Pratama, and Manalu.","plainTextFormattedCitation":"Amin, Pratama, and Manalu.","previouslyFormattedCitation":"Amin, Pratama, and Manalu."},"properties":{"noteIndex":12},"schema":"https://github.com/citation-style-language/schema/raw/master/csl-citation.json"}</w:instrText>
      </w:r>
      <w:r>
        <w:fldChar w:fldCharType="separate"/>
      </w:r>
      <w:r w:rsidRPr="005D4B24">
        <w:rPr>
          <w:noProof/>
        </w:rPr>
        <w:t>Amin, Pratama, and Manalu.</w:t>
      </w:r>
      <w:r>
        <w:fldChar w:fldCharType="end"/>
      </w:r>
    </w:p>
  </w:footnote>
  <w:footnote w:id="13">
    <w:p w14:paraId="4F5FCF36" w14:textId="77777777" w:rsidR="00854631" w:rsidRPr="00A06ABC" w:rsidRDefault="00854631"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{"citationItems":[{"id":"ITEM-1","itemData":{"ISSN":"2776-2815","abstract":"Problems on the road that are increasing, such as the increase in the number of accidents, the threat to the safety of other road users, and the emergence of a culture or habit of violating traffic must be resolved immediately. With the development of science and technology, the Indonesian National Police presents the Electronic Traffic Law Enforcement or ETLE to solve the problem of enforcing traffic violations. Where one of the implementers of ETLE is Riau Province, precisely in Pekanbaru City which was inaugurated in April 2021. In the process of implementing ETLE, it was found that it was running effectively which was supported by various parties starting from the local government level and the community as well as the capacity of the implementing agency. However, there are inhibiting factors in the form of network access that is still hampered, public knowledge is still minimal regarding ETLE and the timeliness of reporting from the ETLE Task Force to the District Court. This study uses a qualitative method with a case study approach which uses data collection techniques in the form of interviews, observations and documents. The source of this research was obtained from the ETLE implementor and the target of the ETLE implementation, namely the community.","author":[{"dropping-particle":"","family":"Syafitri","given":"Endah","non-dropping-particle":"","parse-names":false,"suffix":""},{"dropping-particle":"","family":"Mashur","given":"Dadang","non-dropping-particle":"","parse-names":false,"suffix":""}],"container-title":"Cross-border","id":"ITEM-1","issue":"2","issued":{"date-parts":[["2022"]]},"page":"1322-1337","title":"Efektivitas Implementasi Program Electronic Traffic Law Envorcement (ETLE) Nasional Dalam Peningkatan Pelayanan Publik Di Kota Pekanbaru","type":"article-journal","volume":"5"},"uris":["http://www.mendeley.com/documents/?uuid=8d1af878-3930-4523-84bb-a26cd1048a59"]}],"mendeley":{"formattedCitation":"Endah Syafitri and Dadang Mashur, ‘Efektivitas Implementasi Program Electronic Traffic Law Envorcement (ETLE) Nasional Dalam Peningkatan Pelayanan Publik Di Kota Pekanbaru’, &lt;i&gt;Cross-Border&lt;/i&gt;, 5.2 (2022), 1322–37.","plainTextFormattedCitation":"Endah Syafitri and Dadang Mashur, ‘Efektivitas Implementasi Program Electronic Traffic Law Envorcement (ETLE) Nasional Dalam Peningkatan Pelayanan Publik Di Kota Pekanbaru’, Cross-Border, 5.2 (2022), 1322–37.","previouslyFormattedCitation":"Endah Syafitri and Dadang Mashur, ‘Efektivitas Implementasi Program Electronic Traffic Law Envorcement (ETLE) Nasional Dalam Peningkatan Pelayanan Publik Di Kota Pekanbaru’, &lt;i&gt;Cross-Border&lt;/i&gt;, 5.2 (2022), 1322–37."},"properties":{"noteIndex":13},"schema":"https://github.com/citation-style-language/schema/raw/master/csl-citation.json"}</w:instrText>
      </w:r>
      <w:r>
        <w:fldChar w:fldCharType="separate"/>
      </w:r>
      <w:r w:rsidRPr="00A06ABC">
        <w:rPr>
          <w:noProof/>
        </w:rPr>
        <w:t xml:space="preserve">Endah Syafitri and Dadang Mashur, ‘Efektivitas Implementasi Program Electronic Traffic Law Envorcement (ETLE) Nasional Dalam Peningkatan Pelayanan Publik Di Kota Pekanbaru’, </w:t>
      </w:r>
      <w:r w:rsidRPr="00A06ABC">
        <w:rPr>
          <w:i/>
          <w:noProof/>
        </w:rPr>
        <w:t>Cross-Border</w:t>
      </w:r>
      <w:r w:rsidRPr="00A06ABC">
        <w:rPr>
          <w:noProof/>
        </w:rPr>
        <w:t>, 5.2 (2022), 1322–37.</w:t>
      </w:r>
      <w:r>
        <w:fldChar w:fldCharType="end"/>
      </w:r>
    </w:p>
  </w:footnote>
  <w:footnote w:id="14">
    <w:p w14:paraId="299D3B9C" w14:textId="77777777" w:rsidR="00854631" w:rsidRPr="00A06ABC" w:rsidRDefault="00854631"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{"citationItems":[{"id":"ITEM-1","itemData":{"DOI":"https://doi.org/10.53625/jirk.v1i8.1078","abstract":"Penelitian ini membahas tentang Analisis Program Electronic Traffic Law Enforcement dan menganalisis mekanisme serta sanksi hukum program Electronic Traffic Law Enforcement dalam rangka menciptakan Kamseltibcarlantas di wilayah Kota Serang. Sebagai ibu kota Provinsi Banten, Kota Serang Memiliki mobilitas yang cukup tinggi, Direktorat Lalu Lintas memiliki tantangan untuk menciptakan lalu lintas yang Aman, selamat, tertib dan lancar kepada seluruh masyarakat Kota Serang. Metode penelitian yang digunakan dalam penelitian ini adalah menggunakan metode kualitatif deskriptif. Keamanan, keselamatan, ketertiban, kelancaran lalu lintas (Kamseltibcarlantas) merupakan tujuan yang diinginkan setiap pengguna jalan. Perilaku pengguna jalan sangat berpengaruh terhadap terwujud atau tidaknya Kamseltibcarlantas. Penelitian ini menemukan bahwa Kehadiran Electronic Traffic Law Enforcement di Kota Serang ini sebetulnya mampu untuk memberikan pengaruh kepada masyarakat untuk semakin meningkatkan kesadaran hukum akan tertib lalu lintas. Akan tetapi, dalam praktik di lapangan masih belum dilaksanakan secara maksimal dikarenakan beberapa faktor kendala, yaitu Sumber Daya Manusia, anggaran, sarana/ prasarana, dan budaya masyarakat. Oleh karena itu, diperlukan adanya perbaikan dan evaluasi terkait dengan penerapan Electronic Traffic Law Enforcement agar lebih maksimal dalam penerapannya.","author":[{"dropping-particle":"","family":"Charles Rio Valentine Pardede, Surya Nita","given":"Chairul Muriman Setyabudi","non-dropping-particle":"","parse-names":false,"suffix":""}],"container-title":"Journal of Innovation Research and Knowledge","id":"ITEM-1","issue":"8","issued":{"date-parts":[["2022"]]},"page":"533-542","title":"Analisis Program Electronic Traffic Law Enforcement (ETLE) dalam Rangka Menciptakan Kamseltibcarlantas (Studi Kasus Kota Serang)","type":"article-journal","volume":"1"},"uris":["http://www.mendeley.com/documents/?uuid=3faef16d-f9d6-423c-b67a-d5e71ed99a6b"]}],"mendeley":{"formattedCitation":"Charles Rio Valentine Pardede, Surya Nita.","plainTextFormattedCitation":"Charles Rio Valentine Pardede, Surya Nita.","previouslyFormattedCitation":"Charles Rio Valentine Pardede, Surya Nita."},"properties":{"noteIndex":14},"schema":"https://github.com/citation-style-language/schema/raw/master/csl-citation.json"}</w:instrText>
      </w:r>
      <w:r>
        <w:fldChar w:fldCharType="separate"/>
      </w:r>
      <w:r w:rsidRPr="00A06ABC">
        <w:rPr>
          <w:noProof/>
        </w:rPr>
        <w:t>Charles Rio Valentine Pardede, Surya Nita.</w:t>
      </w:r>
      <w:r>
        <w:fldChar w:fldCharType="end"/>
      </w:r>
    </w:p>
  </w:footnote>
  <w:footnote w:id="15">
    <w:p w14:paraId="1004A638" w14:textId="09E19768" w:rsidR="00854631" w:rsidRPr="00A06ABC" w:rsidRDefault="00854631"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{"citationItems":[{"id":"ITEM-1","itemData":{"DOI":"10.33087/wjh.v6i1.727","abstract":"The development of ticketing system must be more dynamic to solve various problems of traffic violations. In Yogyakarta, an electronic based assessment method that began in mid-2020 managed to record 315 traffic violations, but the use of this electronic ticketing is still being rejected by some traffic users. The purpose of this study is to determine the effectiveness of the use of e-traffic ticketing which is applied in the legal area of Yogyakarta city and to analyze the aspects of justice in electronic ticket fines and measures of justice in the current practice of e-traffic tickets. This study uses a juridical normative research method with a statue approach approach and a concept approach. The result of this research is that the use of electronic tickets for law enforcement and motor vehicle drivers in the legal area of Yogyakarta City shows an increase in the aspect of order. For law enforcement, people who practice bribery are minimized, while for motorists it stimulates an orderly attitude in traffic. In the concept of justice, the use of electronic ticketing has paid attention to aspects of legal justice from the procedural formal side and aspects of substantive justice.","author":[{"dropping-particle":"","family":"Faktawan","given":"Fuadhi","non-dropping-particle":"","parse-names":false,"suffix":""},{"dropping-particle":"Al","family":"Kautsar","given":"Izzy","non-dropping-particle":"","parse-names":false,"suffix":""}],"container-title":"Wajah Hukum","id":"ITEM-1","issue":"1","issued":{"date-parts":[["2022"]]},"page":"86-97","title":"Prinsip Berkeadilan Tilang Elektronik dengan Sistem E-TLE (Studi Kota Yogyakarta)","type":"article-journal","volume":"6"},"uris":["http://www.mendeley.com/documents/?uuid=4fee0d06-3b25-4681-8d75-a4fc939fbe7b"]}],"mendeley":{"formattedCitation":"Fuadhi Faktawan and Izzy Al Kautsar, ‘Prinsip Berkeadilan Tilang Elektronik Dengan Sistem E-TLE (Studi Kota Yogyakarta)’, &lt;i&gt;Wajah Hukum&lt;/i&gt;, 6.1 (2022), 86–97 &lt;https://doi.org/10.33087/wjh.v6i1.727&gt;.","plainTextFormattedCitation":"Fuadhi Faktawan and Izzy Al Kautsar, ‘Prinsip Berkeadilan Tilang Elektronik Dengan Sistem E-TLE (Studi Kota Yogyakarta)’, Wajah Hukum, 6.1 (2022), 86–97 .","previouslyFormattedCitation":"Fuadhi Faktawan and Izzy Al Kautsar, ‘Prinsip Berkeadilan Tilang Elektronik Dengan Sistem E-TLE (Studi Kota Yogyakarta)’, &lt;i&gt;Wajah Hukum&lt;/i&gt;, 6.1 (2022), 86–97 &lt;https://doi.org/10.33087/wjh.v6i1.727&gt;."},"properties":{"noteIndex":15},"schema":"https://github.com/citation-style-language/schema/raw/master/csl-citation.json"}</w:instrText>
      </w:r>
      <w:r>
        <w:fldChar w:fldCharType="separate"/>
      </w:r>
      <w:r w:rsidR="00555661" w:rsidRPr="00555661">
        <w:rPr>
          <w:noProof/>
        </w:rPr>
        <w:t xml:space="preserve">Fuadhi Faktawan and Izzy Al Kautsar, ‘Prinsip Berkeadilan Tilang Elektronik Dengan Sistem E-TLE (Studi Kota Yogyakarta)’, </w:t>
      </w:r>
      <w:r w:rsidR="00555661" w:rsidRPr="00555661">
        <w:rPr>
          <w:i/>
          <w:noProof/>
        </w:rPr>
        <w:t>Wajah Hukum</w:t>
      </w:r>
      <w:r w:rsidR="00555661" w:rsidRPr="00555661">
        <w:rPr>
          <w:noProof/>
        </w:rPr>
        <w:t>, 6.1 (2022), 86–97 &lt;https://doi.org/10.33087/wjh.v6i1.727&gt;.</w:t>
      </w:r>
      <w:r>
        <w:fldChar w:fldCharType="end"/>
      </w:r>
    </w:p>
  </w:footnote>
  <w:footnote w:id="16">
    <w:p w14:paraId="1D695DF4" w14:textId="749C3E6B" w:rsidR="00854631" w:rsidRPr="00DE6486" w:rsidRDefault="00854631"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{"citationItems":[{"id":"ITEM-1","itemData":{"DOI":"10.37010/fcs.v3i2.970","abstract":"Permasalahan yang sering terjadi di kawasan metropolitan salah satunya ialah pelanggaran aturan berlalu lintas di jalan raya. Untuk mengantisipasi terjadinya aksi KKN dalam hal penegakan hukum lalu lintas, Kepolisian Republik Indonesia meluncurkan sistem pemolisian modern berbasis elektronik yaitu E-Policing. Untuk menerapkan sistem E-Policing yang sesuai dengan fungsinya Kepolisian Indonesia membuat program dalam hal mewujudkan ketertiban penindakan pelanggaran lalu lintas dijalan raya yaitu melakukan penilangan berbasis elektronik atau yang biasa dikenal dengan Electronic Traffic Law Enforcement (ETLE). Tujuan utama penelitian ialah untuk menganalisis pengaruh pelaksanaan program tilang elektronik (ETLE) dari penerapan E-Policing. Penelitian ini membandingkan data pelanggaran sebelum adanya pelaksanaan program ETLE, awal program ETLE, dan setelah setahun program ETLE berjalan. Hasil pelaksanaan program ETLE dari penelitian ini menunjukan bahwa dengan adanya program ETLE di ruas jalan Margonda Raya Kota Depok jumlah pelanggaran lalu lintas yang berhasil terekam mengalami kenaikan dibandingkan sebelum adanya pelaksanaan program ETLE. Sedangkan perbandingan jumlah pelanggaran lalu lintas di awal program ETLE dan setelah pelaksanaan program ini selama satu tahun menunjukkan hasil positif yaitu penurunan jumlah pelanggaran dikarenakan kesadaran masyarakat untuk mematuhi peraturan lalu lintas semakin baik. Pelaksanaan program ETLE dipengaruhi beberapa faktor antara lain penegak hukum, sarana dan prasarana, serta faktor masyarakat.","author":[{"dropping-particle":"","family":"Wibowo","given":"Nanang Wahyu","non-dropping-particle":"","parse-names":false,"suffix":""},{"dropping-particle":"","family":"Aminanto","given":"M Ezra","non-dropping-particle":"","parse-names":false,"suffix":""},{"dropping-particle":"","family":"Yola","given":"Lin","non-dropping-particle":"","parse-names":false,"suffix":""}],"container-title":"Focus","id":"ITEM-1","issue":"2","issued":{"date-parts":[["2022"]]},"page":"164-172","title":"Evaluasi Penerapan E-Policing dalam Program Tilang Elektronik (ETLE) di Ruas Jalan Margonda Raya Kota Depok","type":"article-journal","volume":"3"},"uris":["http://www.mendeley.com/documents/?uuid=e28fdc3f-78dd-4bc6-9668-d25d47af2f78"]}],"mendeley":{"formattedCitation":"Nanang Wahyu Wibowo, M Ezra Aminanto, and Lin Yola, ‘Evaluasi Penerapan E-Policing Dalam Program Tilang Elektronik (ETLE) Di Ruas Jalan Margonda Raya Kota Depok’, &lt;i&gt;Focus&lt;/i&gt;, 3.2 (2022), 164–72 &lt;https://doi.org/10.37010/fcs.v3i2.970&gt;.","plainTextFormattedCitation":"Nanang Wahyu Wibowo, M Ezra Aminanto, and Lin Yola, ‘Evaluasi Penerapan E-Policing Dalam Program Tilang Elektronik (ETLE) Di Ruas Jalan Margonda Raya Kota Depok’, Focus, 3.2 (2022), 164–72 .","previouslyFormattedCitation":"Nanang Wahyu Wibowo, M Ezra Aminanto, and Lin Yola, ‘Evaluasi Penerapan E-Policing Dalam Program Tilang Elektronik (ETLE) Di Ruas Jalan Margonda Raya Kota Depok’, &lt;i&gt;Focus&lt;/i&gt;, 3.2 (2022), 164–72 &lt;https://doi.org/10.37010/fcs.v3i2.970&gt;."},"properties":{"noteIndex":16},"schema":"https://github.com/citation-style-language/schema/raw/master/csl-citation.json"}</w:instrText>
      </w:r>
      <w:r>
        <w:fldChar w:fldCharType="separate"/>
      </w:r>
      <w:r w:rsidR="00555661" w:rsidRPr="00555661">
        <w:rPr>
          <w:noProof/>
        </w:rPr>
        <w:t xml:space="preserve">Nanang Wahyu Wibowo, M Ezra Aminanto, and Lin Yola, ‘Evaluasi Penerapan E-Policing Dalam Program Tilang Elektronik (ETLE) Di Ruas Jalan Margonda Raya Kota Depok’, </w:t>
      </w:r>
      <w:r w:rsidR="00555661" w:rsidRPr="00555661">
        <w:rPr>
          <w:i/>
          <w:noProof/>
        </w:rPr>
        <w:t>Focus</w:t>
      </w:r>
      <w:r w:rsidR="00555661" w:rsidRPr="00555661">
        <w:rPr>
          <w:noProof/>
        </w:rPr>
        <w:t>, 3.2 (2022), 164–72 &lt;https://doi.org/10.37010/fcs.v3i2.970&gt;.</w:t>
      </w:r>
      <w:r>
        <w:fldChar w:fldCharType="end"/>
      </w:r>
    </w:p>
  </w:footnote>
  <w:footnote w:id="17">
    <w:p w14:paraId="3F357258" w14:textId="07B3CF83" w:rsidR="00555661" w:rsidRPr="00555661" w:rsidRDefault="00555661">
      <w:pPr>
        <w:pStyle w:val="TeksCatatanKaki"/>
        <w:rPr>
          <w:lang w:val="en-US"/>
        </w:rPr>
      </w:pPr>
      <w:r>
        <w:rPr>
          <w:rStyle w:val="ReferensiCatatanKaki"/>
        </w:rPr>
        <w:footnoteRef/>
      </w:r>
      <w:r>
        <w:t xml:space="preserve"> </w:t>
      </w:r>
      <w:r>
        <w:fldChar w:fldCharType="begin" w:fldLock="1"/>
      </w:r>
      <w:r>
        <w:instrText>ADDIN CSL_CITATION {"citationItems":[{"id":"ITEM-1","itemData":{"DOI":"10.23887/jkh.v8i1.43717","ISSN":"2356-4164","abstract":"Sebagaimana yang tertuang di dalam bunyi pasal 5 ayat (3) huruf e Undang-Undang No 22 Tahun 2009 tentang Lalu Lintas dan Angkutan Jalan yang menyebutkan bahwa urusan pemerintahan dibidang registrasi dan identifikasii kendaraan bermotor dan pengemudi, penegakan hukum, operasional manajemen dan rekayasa lalu lintas, serta pendidikan berlalu lintas oleh Kepolisian Negara Republik Indonesia. Penegakan peraturan lalu lintas dilakukan sebagai tindakan dalam hal merubah pola perilaku terhadap kesalahan atau pelanggaran yang dilakukan pengendara. Masyarakat terkadang masih menganggap bahwa kesalahan yang dilakukan apabila terpantau oleh aparat penegak hukum, sehingga terkadang pengendara abai atau tidak mematuhi aturan keselamatan berkendara di jalan raya. Di era saat ini, penggunaan media elektronik pada bidang lalu lintas telah menjadi inovasi yang dilakukan oleh polisi lalu lintas. Kemajuan teknologi di era globalisasi ini membantu penegakan hukum sebagai langkah untuk mengatasi permasalahan terhadap pelanggaran khususnya pelanggaran yang terjadi di jalan raya. Polisi Lalu Lintas melakukan penerapan sistem penilangan terbaru yang dikenal dengan E-Tilang. E-tilang atau ETLE (Elektronic Traffic Law Enforcment) merupakan sistem proses penilangan yang dilakukan oleh polisi Lalu Lintas dengan menerapkan cara digitalisasi teknologi yakni pemanfaatan sistem CCTV sebagai pengawas. Dengan menggunakan teknologi dalam penilangan diharapkan dapat mempermudah proses penilangan terhadap pengendara yang melakukan kesalahan atau pelanggaran yang terjadi di jalan raya yang mana bukan lagi petugas yang menjadi pengawas atau penindak, namun pengendara yang kedapatan melakukan kesalahan berlalu lintas akan terekam dan tertangkap oleh kamera CCTV. Sehingga CCTV telah menjadi kamera pengawas yang nantinya akan direkam dan dicatat oleh anggota kepolisian yang bertugas memantau pada layar monitor. Kesalahan yang dilakukan oleh pengendara lah yang menjadi hal yang dapat ditangkap atau direkam oleh CCTV yang nantinya pemilik kendaraan akan diberikan surat konfirmasi ETLE yang disertai dengan foto kesalahan yang dilakukan oleh pengemudi kendaraan bermotor di jalan raya. Berdasarkan Undang-Undang No. 22 Tahun 2009 tentang Lalu Lintas dan Angkutan Jalan sebagaimana yang tertuang dalam bunyi pasal 234 ayat (2) yang menyebutkan bahwa setiap pengemudi, pemilik kendaraan bermotor, dan/atau perusahaan angkutan umum bertanggungjawab atas kerusakan jalan dan/atau perlengkapan jalan karena kela…","author":[{"dropping-particle":"","family":"Saputra","given":"Arikha","non-dropping-particle":"","parse-names":false,"suffix":""},{"dropping-particle":"","family":"Suliantoro","given":"Adi","non-dropping-particle":"","parse-names":false,"suffix":""},{"dropping-particle":"","family":"Andraini","given":"Fitika","non-dropping-particle":"","parse-names":false,"suffix":""},{"dropping-particle":"","family":"Listyorini","given":"Dyah","non-dropping-particle":"","parse-names":false,"suffix":""}],"container-title":"Jurnal Komunikasi Hukum (JKH)","id":"ITEM-1","issued":{"date-parts":[["2022"]]},"title":"Penegakan E-Tilang Berdasarkan Kesalahan Dalam Berlalu Lintas","type":"article-journal"},"uris":["http://www.mendeley.com/documents/?uuid=ac51a9cf-ed81-40c1-b766-c454b24f47a9"]}],"mendeley":{"formattedCitation":"Arikha Saputra and others, ‘Penegakan E-Tilang Berdasarkan Kesalahan Dalam Berlalu Lintas’, &lt;i&gt;Jurnal Komunikasi Hukum (JKH)&lt;/i&gt;, 2022 &lt;https://doi.org/10.23887/jkh.v8i1.43717&gt;.","plainTextFormattedCitation":"Arikha Saputra and others, ‘Penegakan E-Tilang Berdasarkan Kesalahan Dalam Berlalu Lintas’, Jurnal Komunikasi Hukum (JKH), 2022 ."},"properties":{"noteIndex":17},"schema":"https://github.com/citation-style-language/schema/raw/master/csl-citation.json"}</w:instrText>
      </w:r>
      <w:r>
        <w:fldChar w:fldCharType="separate"/>
      </w:r>
      <w:r w:rsidRPr="00555661">
        <w:rPr>
          <w:noProof/>
        </w:rPr>
        <w:t xml:space="preserve">Arikha Saputra and others, ‘Penegakan E-Tilang Berdasarkan Kesalahan Dalam Berlalu Lintas’, </w:t>
      </w:r>
      <w:r w:rsidRPr="00555661">
        <w:rPr>
          <w:i/>
          <w:noProof/>
        </w:rPr>
        <w:t>Jurnal Komunikasi Hukum (JKH)</w:t>
      </w:r>
      <w:r w:rsidRPr="00555661">
        <w:rPr>
          <w:noProof/>
        </w:rPr>
        <w:t>, 2022 &lt;https://doi.org/10.23887/jkh.v8i1.43717&gt;.</w:t>
      </w:r>
      <w:r>
        <w:fldChar w:fldCharType="end"/>
      </w:r>
    </w:p>
  </w:footnote>
  <w:footnote w:id="18">
    <w:p w14:paraId="148E1A3D" w14:textId="33BB5F16" w:rsidR="00854631" w:rsidRPr="00B90C4B" w:rsidRDefault="00854631"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{"citationItems":[{"id":"ITEM-1","itemData":{"DOI":"10.32694/qst.v6i2.1228","ISSN":"1858-1099","abstract":"Schools of legal positivism has been associated with the development of law in Indonesia, namely the creation of the sort order for the legislation set out in the Decree of the People's Consultative Assembly (MPR) as well as regulated in Law No. 10 of 2004 which refers to the Stufenbau Theory. Besides, the schools also lead to the formation of the Constitutional Court as an institution that serves as the guardian of the constitution.","author":[{"dropping-particle":"","family":"Ishaq","given":"Ishaq","non-dropping-particle":"","parse-names":false,"suffix":""}],"container-title":"Al-Qisthu: Jurnal Kajian Ilmu-Ilmu Hukum","id":"ITEM-1","issue":"2","issued":{"date-parts":[["2022"]]},"page":"31-47","title":"Hubungan Mazhab (Aliran) Hukum Positivisme Dengan Perkembangang Hukum di Indonesia","type":"article-journal","volume":"6"},"uris":["http://www.mendeley.com/documents/?uuid=d28f7630-b885-4c5b-b2d2-d1d05ab64b8d"]}],"mendeley":{"formattedCitation":"Ishaq Ishaq, ‘Hubungan Mazhab (Aliran) Hukum Positivisme Dengan Perkembangang Hukum Di Indonesia’, &lt;i&gt;Al-Qisthu: Jurnal Kajian Ilmu-Ilmu Hukum&lt;/i&gt;, 6.2 (2022), 31–47 &lt;https://doi.org/10.32694/qst.v6i2.1228&gt;.","plainTextFormattedCitation":"Ishaq Ishaq, ‘Hubungan Mazhab (Aliran) Hukum Positivisme Dengan Perkembangang Hukum Di Indonesia’, Al-Qisthu: Jurnal Kajian Ilmu-Ilmu Hukum, 6.2 (2022), 31–47 .","previouslyFormattedCitation":"Ishaq Ishaq, ‘Hubungan Mazhab (Aliran) Hukum Positivisme Dengan Perkembangang Hukum Di Indonesia’, &lt;i&gt;Al-Qisthu: Jurnal Kajian Ilmu-Ilmu Hukum&lt;/i&gt;, 6.2 (2022), 31–47 &lt;https://doi.org/10.32694/qst.v6i2.1228&gt;."},"properties":{"noteIndex":18},"schema":"https://github.com/citation-style-language/schema/raw/master/csl-citation.json"}</w:instrText>
      </w:r>
      <w:r>
        <w:fldChar w:fldCharType="separate"/>
      </w:r>
      <w:r w:rsidR="00555661" w:rsidRPr="00555661">
        <w:rPr>
          <w:noProof/>
        </w:rPr>
        <w:t xml:space="preserve">Ishaq Ishaq, ‘Hubungan Mazhab (Aliran) Hukum Positivisme Dengan Perkembangang Hukum Di Indonesia’, </w:t>
      </w:r>
      <w:r w:rsidR="00555661" w:rsidRPr="00555661">
        <w:rPr>
          <w:i/>
          <w:noProof/>
        </w:rPr>
        <w:t>Al-Qisthu: Jurnal Kajian Ilmu-Ilmu Hukum</w:t>
      </w:r>
      <w:r w:rsidR="00555661" w:rsidRPr="00555661">
        <w:rPr>
          <w:noProof/>
        </w:rPr>
        <w:t>, 6.2 (2022), 31–47 &lt;https://doi.org/10.32694/qst.v6i2.1228&gt;.</w:t>
      </w:r>
      <w:r>
        <w:fldChar w:fldCharType="end"/>
      </w:r>
    </w:p>
  </w:footnote>
  <w:footnote w:id="19">
    <w:p w14:paraId="2A91636A" w14:textId="77E0FCBC" w:rsidR="00854631" w:rsidRPr="00D103B2" w:rsidRDefault="00854631"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{"citationItems":[{"id":"ITEM-1","itemData":{"DOI":"10.31078/jk1139","ISSN":"1829-7706","abstract":"On direct democracy era to demand national law reform. That one of part national law reform, that is to form legislation which to regulate whole life levels. If formal and substantial, legislation must be mirror populace aspiration (responsive) until in to form it also to involve active participation from the self populace.","author":[{"dropping-particle":"","family":"Astomo","given":"Putera","non-dropping-particle":"","parse-names":false,"suffix":""}],"container-title":"Jurnal Konstitusi","id":"ITEM-1","issue":"3","issued":{"date-parts":[["2016"]]},"page":"577-599","title":"Pembentukan Undang-Undang dalam Rangka Pembaharuan Hukum Nasional Di Era Demokrasi","type":"article-journal","volume":"11"},"uris":["http://www.mendeley.com/documents/?uuid=0a463929-8000-40cd-b42e-6e1b6931b7e6"]}],"mendeley":{"formattedCitation":"Putera Astomo, ‘Pembentukan Undang-Undang Dalam Rangka Pembaharuan Hukum Nasional Di Era Demokrasi’, &lt;i&gt;Jurnal Konstitusi&lt;/i&gt;, 11.3 (2016), 577–99 &lt;https://doi.org/10.31078/jk1139&gt;.","plainTextFormattedCitation":"Putera Astomo, ‘Pembentukan Undang-Undang Dalam Rangka Pembaharuan Hukum Nasional Di Era Demokrasi’, Jurnal Konstitusi, 11.3 (2016), 577–99 .","previouslyFormattedCitation":"Putera Astomo, ‘Pembentukan Undang-Undang Dalam Rangka Pembaharuan Hukum Nasional Di Era Demokrasi’, &lt;i&gt;Jurnal Konstitusi&lt;/i&gt;, 11.3 (2016), 577–99 &lt;https://doi.org/10.31078/jk1139&gt;."},"properties":{"noteIndex":19},"schema":"https://github.com/citation-style-language/schema/raw/master/csl-citation.json"}</w:instrText>
      </w:r>
      <w:r>
        <w:fldChar w:fldCharType="separate"/>
      </w:r>
      <w:r w:rsidR="00555661" w:rsidRPr="00555661">
        <w:rPr>
          <w:noProof/>
        </w:rPr>
        <w:t xml:space="preserve">Putera Astomo, ‘Pembentukan Undang-Undang Dalam Rangka Pembaharuan Hukum Nasional Di Era Demokrasi’, </w:t>
      </w:r>
      <w:r w:rsidR="00555661" w:rsidRPr="00555661">
        <w:rPr>
          <w:i/>
          <w:noProof/>
        </w:rPr>
        <w:t>Jurnal Konstitusi</w:t>
      </w:r>
      <w:r w:rsidR="00555661" w:rsidRPr="00555661">
        <w:rPr>
          <w:noProof/>
        </w:rPr>
        <w:t>, 11.3 (2016), 577–99 &lt;https://doi.org/10.31078/jk1139&gt;.</w:t>
      </w:r>
      <w:r>
        <w:fldChar w:fldCharType="end"/>
      </w:r>
    </w:p>
  </w:footnote>
  <w:footnote w:id="20">
    <w:p w14:paraId="269F9767" w14:textId="77777777" w:rsidR="00854631" w:rsidRPr="00D103B2" w:rsidRDefault="00854631"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{"citationItems":[{"id":"ITEM-1","itemData":{"ISSN":"2776-2815","abstract":"Problems on the road that are increasing, such as the increase in the number of accidents, the threat to the safety of other road users, and the emergence of a culture or habit of violating traffic must be resolved immediately. With the development of science and technology, the Indonesian National Police presents the Electronic Traffic Law Enforcement or ETLE to solve the problem of enforcing traffic violations. Where one of the implementers of ETLE is Riau Province, precisely in Pekanbaru City which was inaugurated in April 2021. In the process of implementing ETLE, it was found that it was running effectively which was supported by various parties starting from the local government level and the community as well as the capacity of the implementing agency. However, there are inhibiting factors in the form of network access that is still hampered, public knowledge is still minimal regarding ETLE and the timeliness of reporting from the ETLE Task Force to the District Court. This study uses a qualitative method with a case study approach which uses data collection techniques in the form of interviews, observations and documents. The source of this research was obtained from the ETLE implementor and the target of the ETLE implementation, namely the community.","author":[{"dropping-particle":"","family":"Syafitri","given":"Endah","non-dropping-particle":"","parse-names":false,"suffix":""},{"dropping-particle":"","family":"Mashur","given":"Dadang","non-dropping-particle":"","parse-names":false,"suffix":""}],"container-title":"Cross-border","id":"ITEM-1","issue":"2","issued":{"date-parts":[["2022"]]},"page":"1322-1337","title":"Efektivitas Implementasi Program Electronic Traffic Law Envorcement (ETLE) Nasional Dalam Peningkatan Pelayanan Publik Di Kota Pekanbaru","type":"article-journal","volume":"5"},"uris":["http://www.mendeley.com/documents/?uuid=8d1af878-3930-4523-84bb-a26cd1048a59"]}],"mendeley":{"formattedCitation":"Syafitri and Mashur.","plainTextFormattedCitation":"Syafitri and Mashur.","previouslyFormattedCitation":"Syafitri and Mashur."},"properties":{"noteIndex":20},"schema":"https://github.com/citation-style-language/schema/raw/master/csl-citation.json"}</w:instrText>
      </w:r>
      <w:r>
        <w:fldChar w:fldCharType="separate"/>
      </w:r>
      <w:r w:rsidRPr="00D103B2">
        <w:rPr>
          <w:noProof/>
        </w:rPr>
        <w:t>Syafitri and Mashur.</w:t>
      </w:r>
      <w:r>
        <w:fldChar w:fldCharType="end"/>
      </w:r>
    </w:p>
  </w:footnote>
  <w:footnote w:id="21">
    <w:p w14:paraId="537FFF3E" w14:textId="77966DA4" w:rsidR="00854631" w:rsidRPr="00854631" w:rsidRDefault="00854631"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{"citationItems":[{"id":"ITEM-1","itemData":{"DOI":"10.57084/andasih.v1i02.459","abstract":"Menurut pemantauan melalui Operasi Zebra Krakatau 2018, pelanggaran lalu lintas yang terjadi di Kota Bandar Lampung semakin meningkat. Sebagian besar pelanggaran dilakukan oleh pelajar. Banyak pelajar yang belum mengetahui secara jelas mengenai pengaturan berlalu lintas yang baik. Kegiatan gerakan sadar hukum ini dilakukan dengan metode ceramah dan metode diskusi, yaitu metode yang digunakan untuk menyampaikan materi tentang meningkatnya pelanggaran lalu lintas dan sosialisasi Undang-Undang Lalu Lintas sebagaimana yang diatur dalam UU No.22 Tahun 2009 tentang Lalu Lintas dan Angkutan Jalan. Kegiatan ini akan memberikan pengetahuan terhadap UU No 22 Tahun 2009 sehingga pelajar mampu melakukan perbaikan secara individu atau pun kolektif, meningkatkan ketaatan terhadap hukum serta mempunyai pengetahuan beracara di kepolisian.","author":[{"dropping-particle":"","family":"Riski","given":"Sri","non-dropping-particle":"","parse-names":false,"suffix":""}],"container-title":"ANDASIH Jurnal Pengabdian kepada Masyarakat","id":"ITEM-1","issue":"2","issued":{"date-parts":[["2020"]]},"title":"Gerakan Sadar Hukum Berlalu Lintas Pada Pelajar dan Guru SMA Negeri 4 Bandar Lampung Dalam Upaya Preventif Terhadap Pelanggaran Lalu Lintas","type":"article-journal","volume":"1"},"uris":["http://www.mendeley.com/documents/?uuid=28d4a922-88f7-4b0f-a5ba-9e940e4dd0c1"]}],"mendeley":{"formattedCitation":"Sri Riski, ‘Gerakan Sadar Hukum Berlalu Lintas Pada Pelajar Dan Guru SMA Negeri 4 Bandar Lampung Dalam Upaya Preventif Terhadap Pelanggaran Lalu Lintas’, &lt;i&gt;ANDASIH Jurnal Pengabdian Kepada Masyarakat&lt;/i&gt;, 1.2 (2020) &lt;https://doi.org/10.57084/andasih.v1i02.459&gt;.","plainTextFormattedCitation":"Sri Riski, ‘Gerakan Sadar Hukum Berlalu Lintas Pada Pelajar Dan Guru SMA Negeri 4 Bandar Lampung Dalam Upaya Preventif Terhadap Pelanggaran Lalu Lintas’, ANDASIH Jurnal Pengabdian Kepada Masyarakat, 1.2 (2020) .","previouslyFormattedCitation":"Sri Riski, ‘Gerakan Sadar Hukum Berlalu Lintas Pada Pelajar Dan Guru SMA Negeri 4 Bandar Lampung Dalam Upaya Preventif Terhadap Pelanggaran Lalu Lintas’, &lt;i&gt;ANDASIH Jurnal Pengabdian Kepada Masyarakat&lt;/i&gt;, 1.2 (2020) &lt;https://doi.org/10.57084/andasih.v1i02.459&gt;."},"properties":{"noteIndex":21},"schema":"https://github.com/citation-style-language/schema/raw/master/csl-citation.json"}</w:instrText>
      </w:r>
      <w:r>
        <w:fldChar w:fldCharType="separate"/>
      </w:r>
      <w:r w:rsidR="00555661" w:rsidRPr="00555661">
        <w:rPr>
          <w:noProof/>
        </w:rPr>
        <w:t xml:space="preserve">Sri Riski, ‘Gerakan Sadar Hukum Berlalu Lintas Pada Pelajar Dan Guru SMA Negeri 4 Bandar Lampung Dalam Upaya Preventif Terhadap Pelanggaran Lalu Lintas’, </w:t>
      </w:r>
      <w:r w:rsidR="00555661" w:rsidRPr="00555661">
        <w:rPr>
          <w:i/>
          <w:noProof/>
        </w:rPr>
        <w:t>ANDASIH Jurnal Pengabdian Kepada Masyarakat</w:t>
      </w:r>
      <w:r w:rsidR="00555661" w:rsidRPr="00555661">
        <w:rPr>
          <w:noProof/>
        </w:rPr>
        <w:t>, 1.2 (2020) &lt;https://doi.org/10.57084/andasih.v1i02.459&gt;.</w:t>
      </w:r>
      <w:r>
        <w:fldChar w:fldCharType="end"/>
      </w:r>
    </w:p>
  </w:footnote>
  <w:footnote w:id="22">
    <w:p w14:paraId="706FC988" w14:textId="3E910FBC" w:rsidR="00854631" w:rsidRPr="00854631" w:rsidRDefault="00854631" w:rsidP="00DD1432">
      <w:pPr>
        <w:pStyle w:val="TeksCatatanKaki"/>
        <w:jc w:val="both"/>
        <w:rPr>
          <w:lang w:val="en-US"/>
        </w:rPr>
      </w:pPr>
      <w:r>
        <w:rPr>
          <w:rStyle w:val="ReferensiCatatanKaki"/>
        </w:rPr>
        <w:footnoteRef/>
      </w:r>
      <w:r>
        <w:t xml:space="preserve"> </w:t>
      </w:r>
      <w:r>
        <w:fldChar w:fldCharType="begin" w:fldLock="1"/>
      </w:r>
      <w:r w:rsidR="002108CE">
        <w:instrText>ADDIN CSL_CITATION {"citationItems":[{"id":"ITEM-1","itemData":{"DOI":"10.23960/jss.v4i2.186","abstract":"Permasalahan dalam kegiatan ini adalah: 1) Pada umumnya tingkat pengetahuan dan pemahaman hukum para siswa terhadap Undang Undang Nomor 22 Tahun 2009 Tentang Lalu Lintas dan Angkutan Jalan masih rendah. 2) Tingkat kedisiplinan atau kepatuhan para siswa terhadap tertib lalu lintas di jalan raya masih perlu untuk ditingkatkan, mengingat masih sering ditemukan adanya pelanggaran lalu lintas. 3) Pada umumnya para siswa belum sepenuhnya sadar akan manfaat dan pentingnya mematuhi peraturan lalu lintas untuk keselamatan di jalan. Solusi untuk mengatasi masalah tersebut adalah dengan melakukan proses edukasi dan pengenalan kaidah-kaidah hukum khususnya tentang hukum lalu lintas kepada para siswa dalam bentuk sosialisasi atau penyuluhan hukum. Kegiatan penyuluhan hukum ini cukup berhasil ditandai dengan keaktifan peserta, baik dalam mengikuti dan menyimak penyajian materi maupun dalam kesempatan tanya jawab atau diskusi. Para peserta juga ada peningkatan pengetahuan dan pemahaman tentang hukum yang mengatur mengenai ketertiban berlalu lintas. Hal ini ditunjukkan dengan hasil evaluasi dari 49,50 pada evaluasi awal menjadi 65,7 pada evaluasi akhir. Ke depan diperlukan adanya tindak lanjut serta kontinuitas dari kegiatan tersebut, baik penyuluhan hukum tentang lalu lintas maupun bidang-bidang hukum lain seperti narkoba, kenakalan remaja, atau norma-norma sosial lainnya.","author":[{"dropping-particle":"","family":"Sunaryo","given":"Sunaryo","non-dropping-particle":"","parse-names":false,"suffix":""},{"dropping-particle":"","family":"Fakih","given":"Muhammad","non-dropping-particle":"","parse-names":false,"suffix":""},{"dropping-particle":"","family":"Syamsiar","given":"Ratna","non-dropping-particle":"","parse-names":false,"suffix":""},{"dropping-particle":"","family":"Kasmawati","given":"Kasmawati","non-dropping-particle":"","parse-names":false,"suffix":""}],"container-title":"Sakai Sambayan Jurnal Pengabdian kepada Masyarakat","id":"ITEM-1","issue":"2","issued":{"date-parts":[["2020"]]},"page":"155-164","title":"Peningkatan Kesadaran Hukum Masyarakat Terhadap Undang-Undang Nomor 22 Tahun 2009 Sebagai Upaya Mewujudkan Terciptanya Tertib Lalu Lintas di Jalan Raya","type":"article-journal","volume":"4"},"uris":["http://www.mendeley.com/documents/?uuid=5a0643ee-25e7-4cff-85ab-6a7fc51deaf2"]}],"mendeley":{"formattedCitation":"Sunaryo Sunaryo and others, ‘Peningkatan Kesadaran Hukum Masyarakat Terhadap Undang-Undang Nomor 22 Tahun 2009 Sebagai Upaya Mewujudkan Terciptanya Tertib Lalu Lintas Di Jalan Raya’, &lt;i&gt;Sakai Sambayan Jurnal Pengabdian Kepada Masyarakat&lt;/i&gt;, 4.2 (2020), 155–64 &lt;https://doi.org/10.23960/jss.v4i2.186&gt;.","manualFormatting":"Sunaryo Sunaryo and others, ‘Peningkatan Kesadaran Hukum Masyarakat Terhadap Undang-Undang Nomor 22 Tahun 2009 Sebagai Upaya Mewujudkan Terciptanya Tertib Lalu Lintas Di Jalan Raya’, Sakai Sambayan Jurnal Pengabdian Kepada Masyarakat, 4.2 (2020), 155–64 \u000b.","plainTextFormattedCitation":"Sunaryo Sunaryo and others, ‘Peningkatan Kesadaran Hukum Masyarakat Terhadap Undang-Undang Nomor 22 Tahun 2009 Sebagai Upaya Mewujudkan Terciptanya Tertib Lalu Lintas Di Jalan Raya’, Sakai Sambayan Jurnal Pengabdian Kepada Masyarakat, 4.2 (2020), 155–64 .","previouslyFormattedCitation":"Sunaryo Sunaryo and others, ‘Peningkatan Kesadaran Hukum Masyarakat Terhadap Undang-Undang Nomor 22 Tahun 2009 Sebagai Upaya Mewujudkan Terciptanya Tertib Lalu Lintas Di Jalan Raya’, &lt;i&gt;Sakai Sambayan Jurnal Pengabdian Kepada Masyarakat&lt;/i&gt;, 4.2 (2020), 155–64 &lt;https://doi.org/10.23960/jss.v4i2.186&gt;."},"properties":{"noteIndex":22},"schema":"https://github.com/citation-style-language/schema/raw/master/csl-citation.json"}</w:instrText>
      </w:r>
      <w:r>
        <w:fldChar w:fldCharType="separate"/>
      </w:r>
      <w:r w:rsidR="00876F97" w:rsidRPr="00876F97">
        <w:rPr>
          <w:noProof/>
        </w:rPr>
        <w:t xml:space="preserve">Sunaryo Sunaryo and others, ‘Peningkatan Kesadaran Hukum Masyarakat Terhadap Undang-Undang Nomor 22 Tahun 2009 Sebagai Upaya Mewujudkan Terciptanya Tertib Lalu Lintas Di Jalan Raya’, </w:t>
      </w:r>
      <w:r w:rsidR="00876F97" w:rsidRPr="00876F97">
        <w:rPr>
          <w:i/>
          <w:noProof/>
        </w:rPr>
        <w:t>Sakai Sambayan Jurnal Pengabdian Kepada Masyarakat</w:t>
      </w:r>
      <w:r w:rsidR="00876F97" w:rsidRPr="00876F97">
        <w:rPr>
          <w:noProof/>
        </w:rPr>
        <w:t xml:space="preserve">, 4.2 (2020), 155–64 </w:t>
      </w:r>
      <w:r w:rsidR="00876F97">
        <w:rPr>
          <w:noProof/>
        </w:rPr>
        <w:br/>
      </w:r>
      <w:r w:rsidR="00876F97" w:rsidRPr="00876F97">
        <w:rPr>
          <w:noProof/>
        </w:rPr>
        <w:t>&lt;https://doi.org/10.23960/jss.v4i2.186&gt;.</w:t>
      </w:r>
      <w:r>
        <w:fldChar w:fldCharType="end"/>
      </w:r>
    </w:p>
  </w:footnote>
  <w:footnote w:id="23">
    <w:p w14:paraId="1ADFB0E8" w14:textId="29BD95C6" w:rsidR="00876F97" w:rsidRPr="00876F97" w:rsidRDefault="00876F97" w:rsidP="00DD1432">
      <w:pPr>
        <w:pStyle w:val="TeksCatatanKaki"/>
        <w:jc w:val="both"/>
        <w:rPr>
          <w:lang w:val="en-US"/>
        </w:rPr>
      </w:pPr>
      <w:r>
        <w:rPr>
          <w:rStyle w:val="ReferensiCatatanKaki"/>
        </w:rPr>
        <w:footnoteRef/>
      </w:r>
      <w:r>
        <w:t xml:space="preserve"> </w:t>
      </w:r>
      <w:r>
        <w:fldChar w:fldCharType="begin" w:fldLock="1"/>
      </w:r>
      <w:r w:rsidR="002108CE">
        <w:instrText>ADDIN CSL_CITATION {"citationItems":[{"id":"ITEM-1","itemData":{"ISBN":"979-421-039-x","abstract":"Buku kecil ini menguraikan faktor-faktor yang mempengaruhi penegakan hukum disertai dengan penjelasan mengenai pengertian undang-undang dan uraian pengenai penegakan hukum.","author":[{"dropping-particle":"","family":"Soekanto","given":"Soerjono","non-dropping-particle":"","parse-names":false,"suffix":""}],"id":"ITEM-1","issued":{"date-parts":[["2005"]]},"number-of-pages":"78","publisher":"PT Raja Grafindo Persada","publisher-place":"Jakarta","title":"Faktor-faktor yang Mempengaruhi penegakan Hukum","type":"book"},"uris":["http://www.mendeley.com/documents/?uuid=a33e48a6-420e-4fb3-a492-443352e82dc5"]}],"mendeley":{"formattedCitation":"Soerjono Soekanto, &lt;i&gt;Faktor-Faktor Yang Mempengaruhi Penegakan Hukum&lt;/i&gt; (Jakarta: PT Raja Grafindo Persada, 2005).","plainTextFormattedCitation":"Soerjono Soekanto, Faktor-Faktor Yang Mempengaruhi Penegakan Hukum (Jakarta: PT Raja Grafindo Persada, 2005).","previouslyFormattedCitation":"Soerjono Soekanto, &lt;i&gt;Faktor-Faktor Yang Mempengaruhi Penegakan Hukum&lt;/i&gt; (Jakarta: PT Raja Grafindo Persada, 2005)."},"properties":{"noteIndex":23},"schema":"https://github.com/citation-style-language/schema/raw/master/csl-citation.json"}</w:instrText>
      </w:r>
      <w:r>
        <w:fldChar w:fldCharType="separate"/>
      </w:r>
      <w:r w:rsidRPr="00876F97">
        <w:rPr>
          <w:noProof/>
        </w:rPr>
        <w:t xml:space="preserve">Soerjono Soekanto, </w:t>
      </w:r>
      <w:r w:rsidRPr="00876F97">
        <w:rPr>
          <w:i/>
          <w:noProof/>
        </w:rPr>
        <w:t>Faktor-Faktor Yang Mempengaruhi Penegakan Hukum</w:t>
      </w:r>
      <w:r w:rsidRPr="00876F97">
        <w:rPr>
          <w:noProof/>
        </w:rPr>
        <w:t xml:space="preserve"> (Jakarta: PT Raja Grafindo Persada, 2005).</w:t>
      </w:r>
      <w:r>
        <w:fldChar w:fldCharType="end"/>
      </w:r>
    </w:p>
  </w:footnote>
  <w:footnote w:id="24">
    <w:p w14:paraId="79546EF5" w14:textId="18429FD1" w:rsidR="002108CE" w:rsidRPr="002108CE" w:rsidRDefault="002108CE"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{"citationItems":[{"id":"ITEM-1","itemData":{"DOI":"10.31599/krtha.v14i2.148","ISSN":"1978-8991","abstract":"Penggunaan kendaraan bermotor dalam kehidupan sehari-hari dapat memberikan dampak negatif yaitu kemacetan dan kecelakaan lalu lintas yang berasal dari pelanggaran lalu lintas sehingga memerlukan upaya penegakan hukum yang saat ini telah menggunakan tilang elektronik, namun dapat menjadi permasalahan apabila kendaraan bermotor yang terlibat pelanggaran lalu lintas telah berpindah kepemilikan atau dikemudikan oleh orang lain. Penelitian ini adalah penelitian yuridis empiris dengan menggunakan pendekatan kasus. Teknik pengumpulan data melalui penelitian lapangan. Hasil penelitian menunjukkan bahwa efektivitas penerapan Tilang elektronik terhadap pelanggaran lalu lintas di wilayah hukum Polda Metro Jaya belum maksimal dalam menanggulangi pelanggaran lalu lintas karena kamera ETLE hanya dapat mendeteksi jenis-jenis pelanggaran tertentu. Faktor-faktor yang mempengaruhi efektivitas penerapan Tilang Elektronik yaitu faktor substansi hukum yang belum diatur dalam Peraturan Kapolri, faktor penegak hukum, faktor sarana atau fasilitas, faktor budaya hukum masyarakat, serta faktor alam atau lingkungan.","author":[{"dropping-particle":"","family":"Amin","given":"Rahman","non-dropping-particle":"","parse-names":false,"suffix":""},{"dropping-particle":"","family":"Pratama","given":"Alfin","non-dropping-particle":"","parse-names":false,"suffix":""},{"dropping-particle":"","family":"Manalu","given":"Iren","non-dropping-particle":"","parse-names":false,"suffix":""}],"container-title":"KRTHA BHAYANGKARA","id":"ITEM-1","issue":"2","issued":{"date-parts":[["2020"]]},"page":"134-155","title":"Efektivitas Penerapan Tilang Elektronik Terhadap Pelanggaran Lalu Lintas di Wilayah Hukum Polda Metro Jaya","type":"article-journal","volume":"14"},"uris":["http://www.mendeley.com/documents/?uuid=b02c004c-39df-4eb1-b13a-80f4ad8a5270"]}],"mendeley":{"formattedCitation":"Amin, Pratama, and Manalu.","plainTextFormattedCitation":"Amin, Pratama, and Manalu.","previouslyFormattedCitation":"Amin, Pratama, and Manalu."},"properties":{"noteIndex":24},"schema":"https://github.com/citation-style-language/schema/raw/master/csl-citation.json"}</w:instrText>
      </w:r>
      <w:r>
        <w:fldChar w:fldCharType="separate"/>
      </w:r>
      <w:r w:rsidRPr="002108CE">
        <w:rPr>
          <w:noProof/>
        </w:rPr>
        <w:t>Amin, Pratama, and Manalu.</w:t>
      </w:r>
      <w:r>
        <w:fldChar w:fldCharType="end"/>
      </w:r>
    </w:p>
  </w:footnote>
  <w:footnote w:id="25">
    <w:p w14:paraId="1B128F6A" w14:textId="13E01B08" w:rsidR="002108CE" w:rsidRPr="002108CE" w:rsidRDefault="002108CE"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{"citationItems":[{"id":"ITEM-1","itemData":{"ISBN":"0123456789","ISSN":"03003604","PMID":"17080635","abstract":"© 2018, The Institute of Experimental Botany. Photosynthesis is amongst the plant cell functions that are highly sensitive to any type of changes. Sun and shade conditions are prevalent in fields as well as dense forests. Dense forests face extreme sun and shade conditions, and plants adapt themselves accordingly. Sun flecks cause changes in plant metabolic processes. In the field, plants have to face high light intensity and survive under such conditions. Sun and shade type of plants develops a respective type of chloroplasts which help plants to survive and perform photosynthesis under adverse conditions. PSII and Rubisco behave differently under different sun and shade conditions. In this review, morphological, physiological, and biochemical changes under conditions of sun (high light) and shade (low light) on the process of photosynthesis, as well as the tolerance and adaptive mechanisms involved for the same, were summarized.","author":[{"dropping-particle":"","family":"Juliadi","given":"","non-dropping-particle":"","parse-names":false,"suffix":""}],"container-title":"Jurnal Ilmiah","id":"ITEM-1","issued":{"date-parts":[["2018"]]},"title":"Pelaksanaan Tilang Elektronik (E-Tilang) Terhadap Pelanggar Lalu Lintas (Studi di Satlantas Polres Mataram)","type":"article-journal"},"uris":["http://www.mendeley.com/documents/?uuid=864261e9-9a6c-46fc-b26d-c3484b984c1a"]}],"mendeley":{"formattedCitation":"Juliadi, ‘Pelaksanaan Tilang Elektronik (E-Tilang) Terhadap Pelanggar Lalu Lintas (Studi Di Satlantas Polres Mataram)’, &lt;i&gt;Jurnal Ilmiah&lt;/i&gt;, 2018.","plainTextFormattedCitation":"Juliadi, ‘Pelaksanaan Tilang Elektronik (E-Tilang) Terhadap Pelanggar Lalu Lintas (Studi Di Satlantas Polres Mataram)’, Jurnal Ilmiah, 2018.","previouslyFormattedCitation":"Juliadi, ‘Pelaksanaan Tilang Elektronik (E-Tilang) Terhadap Pelanggar Lalu Lintas (Studi Di Satlantas Polres Mataram)’, &lt;i&gt;Jurnal Ilmiah&lt;/i&gt;, 2018."},"properties":{"noteIndex":25},"schema":"https://github.com/citation-style-language/schema/raw/master/csl-citation.json"}</w:instrText>
      </w:r>
      <w:r>
        <w:fldChar w:fldCharType="separate"/>
      </w:r>
      <w:r w:rsidRPr="002108CE">
        <w:rPr>
          <w:noProof/>
        </w:rPr>
        <w:t xml:space="preserve">Juliadi, ‘Pelaksanaan Tilang Elektronik (E-Tilang) Terhadap Pelanggar Lalu Lintas (Studi Di Satlantas Polres Mataram)’, </w:t>
      </w:r>
      <w:r w:rsidRPr="002108CE">
        <w:rPr>
          <w:i/>
          <w:noProof/>
        </w:rPr>
        <w:t>Jurnal Ilmiah</w:t>
      </w:r>
      <w:r w:rsidRPr="002108CE">
        <w:rPr>
          <w:noProof/>
        </w:rPr>
        <w:t>, 2018.</w:t>
      </w:r>
      <w:r>
        <w:fldChar w:fldCharType="end"/>
      </w:r>
    </w:p>
  </w:footnote>
  <w:footnote w:id="26">
    <w:p w14:paraId="3C4C6454" w14:textId="7F7F6211" w:rsidR="002108CE" w:rsidRPr="002108CE" w:rsidRDefault="002108CE"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{"citationItems":[{"id":"ITEM-1","itemData":{"ISBN":"0123456789","ISSN":"03003604","PMID":"17080635","abstract":"© 2018, The Institute of Experimental Botany. Photosynthesis is amongst the plant cell functions that are highly sensitive to any type of changes. Sun and shade conditions are prevalent in fields as well as dense forests. Dense forests face extreme sun and shade conditions, and plants adapt themselves accordingly. Sun flecks cause changes in plant metabolic processes. In the field, plants have to face high light intensity and survive under such conditions. Sun and shade type of plants develops a respective type of chloroplasts which help plants to survive and perform photosynthesis under adverse conditions. PSII and Rubisco behave differently under different sun and shade conditions. In this review, morphological, physiological, and biochemical changes under conditions of sun (high light) and shade (low light) on the process of photosynthesis, as well as the tolerance and adaptive mechanisms involved for the same, were summarized.","author":[{"dropping-particle":"","family":"Juliadi","given":"","non-dropping-particle":"","parse-names":false,"suffix":""}],"container-title":"Jurnal Ilmiah","id":"ITEM-1","issued":{"date-parts":[["2018"]]},"title":"Pelaksanaan Tilang Elektronik (E-Tilang) Terhadap Pelanggar Lalu Lintas (Studi di Satlantas Polres Mataram)","type":"article-journal"},"uris":["http://www.mendeley.com/documents/?uuid=864261e9-9a6c-46fc-b26d-c3484b984c1a"]}],"mendeley":{"formattedCitation":"Juliadi.","plainTextFormattedCitation":"Juliadi.","previouslyFormattedCitation":"Juliadi."},"properties":{"noteIndex":26},"schema":"https://github.com/citation-style-language/schema/raw/master/csl-citation.json"}</w:instrText>
      </w:r>
      <w:r>
        <w:fldChar w:fldCharType="separate"/>
      </w:r>
      <w:r w:rsidRPr="002108CE">
        <w:rPr>
          <w:noProof/>
        </w:rPr>
        <w:t>Juliadi.</w:t>
      </w:r>
      <w:r>
        <w:fldChar w:fldCharType="end"/>
      </w:r>
    </w:p>
  </w:footnote>
  <w:footnote w:id="27">
    <w:p w14:paraId="19ECD8A4" w14:textId="44D2964D" w:rsidR="002108CE" w:rsidRPr="002108CE" w:rsidRDefault="002108CE" w:rsidP="00DD1432">
      <w:pPr>
        <w:pStyle w:val="TeksCatatanKaki"/>
        <w:jc w:val="both"/>
        <w:rPr>
          <w:lang w:val="en-US"/>
        </w:rPr>
      </w:pPr>
      <w:r>
        <w:rPr>
          <w:rStyle w:val="ReferensiCatatanKaki"/>
        </w:rPr>
        <w:footnoteRef/>
      </w:r>
      <w:r>
        <w:t xml:space="preserve"> </w:t>
      </w:r>
      <w:r>
        <w:fldChar w:fldCharType="begin" w:fldLock="1"/>
      </w:r>
      <w:r w:rsidR="00BB4079">
        <w:instrText>ADDIN CSL_CITATION {"citationItems":[{"id":"ITEM-1","itemData":{"DOI":"10.33558/bentang.v11i1.5684","abstract":"Bangka Belitung Province is one of the provinces implementing ETLE to reduce the number of traffic violations. The implementation of ETLE in Bangka Belitung Province has been applied since March 2022 which has given an impact on changes in driver behavior. Driving behavior can be said to be the reaction of the driver/ rider to the environment when driving a vehicle. Based on previous research, it is known that driving behavior can be measured through the Driver Behavior Questionnaire (DBQ). Therefore, this study adopts DBQ to measure changes in driving behavior due to the implementation of ETLE in Pangkalpinang. This study aims to find out how the behavior of driver using the road after the application of Electronic Traffic Law Enforcement (ETLE) at signalized intersections in Pangkalpinang. The result indicates that driver/ rider “have almost never committed a violation by not wearing a safety belt while driving” and “have almost never using a cell phone while driving or when the vehicle is stopped at an intersection when the traffic light is red since the implementation of ETLE”. It can be concluded that the results of the analysis of violations recorded on ETLE are in line with the results of the analysis of driving behavior. However, further analysis is needed to determine the significant impact of implementing ETLE on driving behavior. The application of ETLE is expected to reduce violations that can trigger traffic accidents. Furthermore, the results of this study can be used as a basis for determining policies related to the transportation sector, especially improving traffic safety.","author":[{"dropping-particle":"","family":"Safitri","given":"Revy","non-dropping-particle":"","parse-names":false,"suffix":""},{"dropping-particle":"","family":"Fahri","given":"Muhammad","non-dropping-particle":"","parse-names":false,"suffix":""},{"dropping-particle":"","family":"Arlianda","given":"Reza","non-dropping-particle":"","parse-names":false,"suffix":""}],"container-title":"Bentang : Jurnal Teoritis dan Terapan Bidang Rekayasa Sipil","id":"ITEM-1","issue":"1","issued":{"date-parts":[["2023"]]},"page":"105-112","title":"Perilaku Berkendara Dampak Penerapan Electronic Traffic Law Enforcement (ETLE) Pada Simpang Bersinyal di Kota Pangkalpinang","type":"article-journal","volume":"11"},"uris":["http://www.mendeley.com/documents/?uuid=222d76a8-0b5c-4f8f-af09-8e24a8be5c8f"]}],"mendeley":{"formattedCitation":"Revy Safitri, Muhammad Fahri, and Reza Arlianda, ‘Perilaku Berkendara Dampak Penerapan Electronic Traffic Law Enforcement (ETLE) Pada Simpang Bersinyal Di Kota Pangkalpinang’, &lt;i&gt;Bentang : Jurnal Teoritis Dan Terapan Bidang Rekayasa Sipil&lt;/i&gt;, 11.1 (2023), 105–12 &lt;https://doi.org/10.33558/bentang.v11i1.5684&gt;.","plainTextFormattedCitation":"Revy Safitri, Muhammad Fahri, and Reza Arlianda, ‘Perilaku Berkendara Dampak Penerapan Electronic Traffic Law Enforcement (ETLE) Pada Simpang Bersinyal Di Kota Pangkalpinang’, Bentang : Jurnal Teoritis Dan Terapan Bidang Rekayasa Sipil, 11.1 (2023), 105–12 .","previouslyFormattedCitation":"Revy Safitri, Muhammad Fahri, and Reza Arlianda, ‘Perilaku Berkendara Dampak Penerapan Electronic Traffic Law Enforcement (ETLE) Pada Simpang Bersinyal Di Kota Pangkalpinang’, &lt;i&gt;Bentang : Jurnal Teoritis Dan Terapan Bidang Rekayasa Sipil&lt;/i&gt;, 11.1 (2023), 105–12 &lt;https://doi.org/10.33558/bentang.v11i1.5684&gt;."},"properties":{"noteIndex":27},"schema":"https://github.com/citation-style-language/schema/raw/master/csl-citation.json"}</w:instrText>
      </w:r>
      <w:r>
        <w:fldChar w:fldCharType="separate"/>
      </w:r>
      <w:r w:rsidR="00555661" w:rsidRPr="00555661">
        <w:rPr>
          <w:noProof/>
        </w:rPr>
        <w:t xml:space="preserve">Revy Safitri, Muhammad Fahri, and Reza Arlianda, ‘Perilaku Berkendara Dampak Penerapan Electronic Traffic Law Enforcement (ETLE) Pada Simpang Bersinyal Di Kota Pangkalpinang’, </w:t>
      </w:r>
      <w:r w:rsidR="00555661" w:rsidRPr="00555661">
        <w:rPr>
          <w:i/>
          <w:noProof/>
        </w:rPr>
        <w:t>Bentang : Jurnal Teoritis Dan Terapan Bidang Rekayasa Sipil</w:t>
      </w:r>
      <w:r w:rsidR="00555661" w:rsidRPr="00555661">
        <w:rPr>
          <w:noProof/>
        </w:rPr>
        <w:t>, 11.1 (2023), 105–12 &lt;https://doi.org/10.33558/bentang.v11i1.5684&gt;.</w:t>
      </w:r>
      <w:r>
        <w:fldChar w:fldCharType="end"/>
      </w:r>
    </w:p>
  </w:footnote>
  <w:footnote w:id="28">
    <w:p w14:paraId="711A7E6B" w14:textId="010EA464" w:rsidR="00BB4079" w:rsidRPr="00BB4079" w:rsidRDefault="00BB4079"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{"citationItems":[{"id":"ITEM-1","itemData":{"abstract":"… Abstrak Penelitian ini berjudul Efektivitas Standar Pelayanan Angkutan Trans SARBAGITA Berdasarkan Peraturan Gubernur Bali Nomor 11 Tahun 2011 … Berdasarkan teori Efektifitas hukum yang dikemukan oleh Soerjono Soekanto efektif …","author":[{"dropping-particle":"","family":"Budianayasa","given":"I Putu","non-dropping-particle":"","parse-names":false,"suffix":""},{"dropping-particle":"","family":"Wairocana","given":"I Gusti Ngurah","non-dropping-particle":"","parse-names":false,"suffix":""}],"container-title":"Journal Ilmu Hukum","id":"ITEM-1","issue":"3","issued":{"date-parts":[["2018"]]},"page":"1-15","title":"Efektivitas Standar Pelayanan Angkutan Trans Sarbagita Berdasarkan Peraturan Gubernur Bali Nomor 11 Tahun 2011","type":"article-journal","volume":"6"},"uris":["http://www.mendeley.com/documents/?uuid=6349a263-4d66-4091-9f79-90a8e0a77973"]}],"mendeley":{"formattedCitation":"I Putu Budianayasa and I Gusti Ngurah Wairocana, ‘Efektivitas Standar Pelayanan Angkutan Trans Sarbagita Berdasarkan Peraturan Gubernur Bali Nomor 11 Tahun 2011’, &lt;i&gt;Journal Ilmu Hukum&lt;/i&gt;, 6.3 (2018), 1–15.","plainTextFormattedCitation":"I Putu Budianayasa and I Gusti Ngurah Wairocana, ‘Efektivitas Standar Pelayanan Angkutan Trans Sarbagita Berdasarkan Peraturan Gubernur Bali Nomor 11 Tahun 2011’, Journal Ilmu Hukum, 6.3 (2018), 1–15.","previouslyFormattedCitation":"I Putu Budianayasa and I Gusti Ngurah Wairocana, ‘Efektivitas Standar Pelayanan Angkutan Trans Sarbagita Berdasarkan Peraturan Gubernur Bali Nomor 11 Tahun 2011’, &lt;i&gt;Journal Ilmu Hukum&lt;/i&gt;, 6.3 (2018), 1–15."},"properties":{"noteIndex":28},"schema":"https://github.com/citation-style-language/schema/raw/master/csl-citation.json"}</w:instrText>
      </w:r>
      <w:r>
        <w:fldChar w:fldCharType="separate"/>
      </w:r>
      <w:r w:rsidRPr="00BB4079">
        <w:rPr>
          <w:noProof/>
        </w:rPr>
        <w:t xml:space="preserve">I Putu Budianayasa and I Gusti Ngurah Wairocana, ‘Efektivitas Standar Pelayanan Angkutan Trans Sarbagita Berdasarkan Peraturan Gubernur Bali Nomor 11 Tahun 2011’, </w:t>
      </w:r>
      <w:r w:rsidRPr="00BB4079">
        <w:rPr>
          <w:i/>
          <w:noProof/>
        </w:rPr>
        <w:t>Journal Ilmu Hukum</w:t>
      </w:r>
      <w:r w:rsidRPr="00BB4079">
        <w:rPr>
          <w:noProof/>
        </w:rPr>
        <w:t>, 6.3 (2018), 1–15.</w:t>
      </w:r>
      <w:r>
        <w:fldChar w:fldCharType="end"/>
      </w:r>
    </w:p>
  </w:footnote>
  <w:footnote w:id="29">
    <w:p w14:paraId="1AA79EDE" w14:textId="6F5EDB9F" w:rsidR="00BB4079" w:rsidRPr="00BB4079" w:rsidRDefault="00BB4079"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{"citationItems":[{"id":"ITEM-1","itemData":{"abstract":"… dengan menggunakan teori efektifitas hukum sebagai pisau … dibantu auditor dari Badan Pengawasan Keuangan dan … sebagai alat untuk mencapai efektivitas hukum. Ruang lingkupnya …","author":[{"dropping-particle":"","family":"Irvan","given":"M","non-dropping-particle":"","parse-names":false,"suffix":""},{"dropping-particle":"","family":"Thalib","given":"H","non-dropping-particle":"","parse-names":false,"suffix":""},{"dropping-particle":"","family":"Badaru","given":"B","non-dropping-particle":"","parse-names":false,"suffix":""}],"container-title":"Journal of Lex Generalis (JLG)","id":"ITEM-1","issue":"7","issued":{"date-parts":[["2022"]]},"page":"1229-1240","title":"Efektivitas Penuntutan Tindak Pidana Korupsi Pada Kejaksaan Tinggi Sulawesi Selatan","type":"article-journal","volume":"3"},"uris":["http://www.mendeley.com/documents/?uuid=9c6e94f9-cd6a-4de9-af77-60e27259c340"]}],"mendeley":{"formattedCitation":"M Irvan, H Thalib, and B Badaru, ‘Efektivitas Penuntutan Tindak Pidana Korupsi Pada Kejaksaan Tinggi Sulawesi Selatan’, &lt;i&gt;Journal of Lex Generalis (JLG)&lt;/i&gt;, 3.7 (2022), 1229–40.","plainTextFormattedCitation":"M Irvan, H Thalib, and B Badaru, ‘Efektivitas Penuntutan Tindak Pidana Korupsi Pada Kejaksaan Tinggi Sulawesi Selatan’, Journal of Lex Generalis (JLG), 3.7 (2022), 1229–40.","previouslyFormattedCitation":"M Irvan, H Thalib, and B Badaru, ‘Efektivitas Penuntutan Tindak Pidana Korupsi Pada Kejaksaan Tinggi Sulawesi Selatan’, &lt;i&gt;Journal of Lex Generalis (JLG)&lt;/i&gt;, 3.7 (2022), 1229–40."},"properties":{"noteIndex":29},"schema":"https://github.com/citation-style-language/schema/raw/master/csl-citation.json"}</w:instrText>
      </w:r>
      <w:r>
        <w:fldChar w:fldCharType="separate"/>
      </w:r>
      <w:r w:rsidRPr="00BB4079">
        <w:rPr>
          <w:noProof/>
        </w:rPr>
        <w:t xml:space="preserve">M Irvan, H Thalib, and B Badaru, ‘Efektivitas Penuntutan Tindak Pidana Korupsi Pada Kejaksaan Tinggi Sulawesi Selatan’, </w:t>
      </w:r>
      <w:r w:rsidRPr="00BB4079">
        <w:rPr>
          <w:i/>
          <w:noProof/>
        </w:rPr>
        <w:t>Journal of Lex Generalis (JLG)</w:t>
      </w:r>
      <w:r w:rsidRPr="00BB4079">
        <w:rPr>
          <w:noProof/>
        </w:rPr>
        <w:t>, 3.7 (2022), 1229–40.</w:t>
      </w:r>
      <w:r>
        <w:fldChar w:fldCharType="end"/>
      </w:r>
    </w:p>
  </w:footnote>
  <w:footnote w:id="30">
    <w:p w14:paraId="058563BB" w14:textId="7F556B47" w:rsidR="00BB4079" w:rsidRPr="00BB4079" w:rsidRDefault="00BB4079"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{"citationItems":[{"id":"ITEM-1","itemData":{"DOI":"10.59996/jurnalpelitanusantara.v1i4.351","ISSN":"3031-5166","abstract":"Parkir liar menjadi fenomena yang sering dijumpai di masyarakat. Parkir Sembarangan ini memang sekilas tampak sepele, akan tetapi jika dibiarkan terus menerus dapat mengganggu perjalanan pengguna jalan bahkan dapat menaikkan angka kecelakaan. Tujuan penelitian ini ialah menganalisis kasus yang sedang terjadi di masyarakat yakni fenomena parkir liar perspektif teori efektifitas hukum. Pengumpulan data di dalam penelitian ini dilakukan dengan cara observasi dan wawancara. Selanjutnya analisis data dilakukan secara deskriptif. Berdasarkan penelitian ini, peneliti menyimpulkan bahwa penyebab kasus parkir liar antara lain belum terjalinnya koordinasi yang baik antara, masyarakat, pemerintah dan pemilik toko di mana parkir liar digunakan. Dari perspektif teori efektifitas hukum, penyebab parkir liar adalah dari aspek kesadaran masyarakat dan kurangnya penegakan peraturan. Penelitian ini menunjukkan bahwa peraturan belum berjalan efektif.","author":[{"dropping-particle":"","family":"Armanda","given":"Bagus","non-dropping-particle":"","parse-names":false,"suffix":""}],"container-title":"Jurnal Pelita Nusantara","id":"ITEM-1","issue":"4","issued":{"date-parts":[["2024"]]},"page":"477-481","title":"Parkir Liar dalam Perspektif Teori Efektifitas Hukum","type":"article-journal","volume":"1"},"uris":["http://www.mendeley.com/documents/?uuid=4c6ed28d-5809-4457-b0c3-b8ce429d9339"]}],"mendeley":{"formattedCitation":"Bagus Armanda, ‘Parkir Liar Dalam Perspektif Teori Efektifitas Hukum’, &lt;i&gt;Jurnal Pelita Nusantara&lt;/i&gt;, 1.4 (2024), 477–81 &lt;https://doi.org/10.59996/jurnalpelitanusantara.v1i4.351&gt;.","plainTextFormattedCitation":"Bagus Armanda, ‘Parkir Liar Dalam Perspektif Teori Efektifitas Hukum’, Jurnal Pelita Nusantara, 1.4 (2024), 477–81 .","previouslyFormattedCitation":"Bagus Armanda, ‘Parkir Liar Dalam Perspektif Teori Efektifitas Hukum’, &lt;i&gt;Jurnal Pelita Nusantara&lt;/i&gt;, 1.4 (2024), 477–81 &lt;https://doi.org/10.59996/jurnalpelitanusantara.v1i4.351&gt;."},"properties":{"noteIndex":30},"schema":"https://github.com/citation-style-language/schema/raw/master/csl-citation.json"}</w:instrText>
      </w:r>
      <w:r>
        <w:fldChar w:fldCharType="separate"/>
      </w:r>
      <w:r w:rsidR="00555661" w:rsidRPr="00555661">
        <w:rPr>
          <w:noProof/>
        </w:rPr>
        <w:t xml:space="preserve">Bagus Armanda, ‘Parkir Liar Dalam Perspektif Teori Efektifitas Hukum’, </w:t>
      </w:r>
      <w:r w:rsidR="00555661" w:rsidRPr="00555661">
        <w:rPr>
          <w:i/>
          <w:noProof/>
        </w:rPr>
        <w:t>Jurnal Pelita Nusantara</w:t>
      </w:r>
      <w:r w:rsidR="00555661" w:rsidRPr="00555661">
        <w:rPr>
          <w:noProof/>
        </w:rPr>
        <w:t>, 1.4 (2024), 477–81 &lt;https://doi.org/10.59996/jurnalpelitanusantara.v1i4.351&gt;.</w:t>
      </w:r>
      <w:r>
        <w:fldChar w:fldCharType="end"/>
      </w:r>
    </w:p>
  </w:footnote>
  <w:footnote w:id="31">
    <w:p w14:paraId="0DAEC159" w14:textId="5EB4036D" w:rsidR="00BB4079" w:rsidRPr="00BB4079" w:rsidRDefault="00BB4079" w:rsidP="00DD1432">
      <w:pPr>
        <w:pStyle w:val="TeksCatatanKaki"/>
        <w:jc w:val="both"/>
        <w:rPr>
          <w:lang w:val="en-US"/>
        </w:rPr>
      </w:pPr>
      <w:r>
        <w:rPr>
          <w:rStyle w:val="ReferensiCatatanKaki"/>
        </w:rPr>
        <w:footnoteRef/>
      </w:r>
      <w:r>
        <w:t xml:space="preserve"> </w:t>
      </w:r>
      <w:r>
        <w:fldChar w:fldCharType="begin" w:fldLock="1"/>
      </w:r>
      <w:r>
        <w:instrText>ADDIN CSL_CITATION {"citationItems":[{"id":"ITEM-1","itemData":{"abstract":"… penelitian oleh AKP Erwin Chan Siregar, SIK didapat hasil bahwa faktor-faktor yang mempengaruhi penerapan sistem Tilang elektronik dalam meningkatkan kepercayaan publik oleh Satlantas Polres Banyumas yang dilihat dari teori model implementasi kebijakan publik …","author":[{"dropping-particle":"","family":"Aprillia","given":"Annisa Asri","non-dropping-particle":"","parse-names":false,"suffix":""}],"container-title":"Advances in Police Science Research Journal","id":"ITEM-1","issue":"1","issued":{"date-parts":[["2020"]]},"page":"209-280","title":"Implementasi E-Tilang Dalam Meningkatkan Pelayanan Publik Oleh Satuan Lalu-Lintas Polres Banyumas","type":"article-journal","volume":"4"},"uris":["http://www.mendeley.com/documents/?uuid=e69c3d9a-5072-456e-840d-1d2d41b6b402"]}],"mendeley":{"formattedCitation":"Annisa Asri Aprillia, ‘Implementasi E-Tilang Dalam Meningkatkan Pelayanan Publik Oleh Satuan Lalu-Lintas Polres Banyumas’, &lt;i&gt;Advances in Police Science Research Journal&lt;/i&gt;, 4.1 (2020), 209–80.","plainTextFormattedCitation":"Annisa Asri Aprillia, ‘Implementasi E-Tilang Dalam Meningkatkan Pelayanan Publik Oleh Satuan Lalu-Lintas Polres Banyumas’, Advances in Police Science Research Journal, 4.1 (2020), 209–80.","previouslyFormattedCitation":"Annisa Asri Aprillia, ‘Implementasi E-Tilang Dalam Meningkatkan Pelayanan Publik Oleh Satuan Lalu-Lintas Polres Banyumas’, &lt;i&gt;Advances in Police Science Research Journal&lt;/i&gt;, 4.1 (2020), 209–80."},"properties":{"noteIndex":31},"schema":"https://github.com/citation-style-language/schema/raw/master/csl-citation.json"}</w:instrText>
      </w:r>
      <w:r>
        <w:fldChar w:fldCharType="separate"/>
      </w:r>
      <w:r w:rsidRPr="00BB4079">
        <w:rPr>
          <w:noProof/>
        </w:rPr>
        <w:t xml:space="preserve">Annisa Asri Aprillia, ‘Implementasi E-Tilang Dalam Meningkatkan Pelayanan Publik Oleh Satuan Lalu-Lintas Polres Banyumas’, </w:t>
      </w:r>
      <w:r w:rsidRPr="00BB4079">
        <w:rPr>
          <w:i/>
          <w:noProof/>
        </w:rPr>
        <w:t>Advances in Police Science Research Journal</w:t>
      </w:r>
      <w:r w:rsidRPr="00BB4079">
        <w:rPr>
          <w:noProof/>
        </w:rPr>
        <w:t>, 4.1 (2020), 209–80.</w:t>
      </w:r>
      <w:r>
        <w:fldChar w:fldCharType="end"/>
      </w:r>
    </w:p>
  </w:footnote>
  <w:footnote w:id="32">
    <w:p w14:paraId="2020C5B7" w14:textId="0EE49545" w:rsidR="00BB4079" w:rsidRPr="00BB4079" w:rsidRDefault="00BB4079" w:rsidP="00DD1432">
      <w:pPr>
        <w:pStyle w:val="TeksCatatanKaki"/>
        <w:jc w:val="both"/>
        <w:rPr>
          <w:lang w:val="en-US"/>
        </w:rPr>
      </w:pPr>
      <w:r>
        <w:rPr>
          <w:rStyle w:val="ReferensiCatatanKaki"/>
        </w:rPr>
        <w:footnoteRef/>
      </w:r>
      <w:r>
        <w:t xml:space="preserve"> </w:t>
      </w:r>
      <w:r>
        <w:fldChar w:fldCharType="begin" w:fldLock="1"/>
      </w:r>
      <w:r w:rsidR="00DD1432">
        <w:instrText>ADDIN CSL_CITATION {"citationItems":[{"id":"ITEM-1","itemData":{"DOI":"10.24252/aldev.v2i1.13274","ISSN":"2714-8742","abstract":"Tulisan ini bertujuan untuk mengetahui problematika penerapan tilang elektronik dalam mengurangi pelanggaran lalu lintas yang terjadi di Kota Makassar. Jenis penelitian yang dilakukan menggunakan metode field research yaitu pengamatan lapangan dan wawancara dengan narasumber. Hasil penelitian ini menunjukkan bahwa, 1). Penerapan tilang elektronik di Wilayah Hukum Polrestabes Makassar merujuk pada UU No. 2 Tahun 2002, UU No. 22 Tahun 2009 Pasal 272, UU No.11 Tahun 2008 Pasal 5, program Kapolri Tentang pelayanan yang promoter, dan program kerja Kapolrestabes Makassar TA 2019. Hambatan-hambatan dalam penerapan tilang elektronik di Wilayah Hukum Polrestabes Makassar adalah sering terjadi: 1. Masalah kepemilikan kendaraan pelanggar lalu lintas, 2. Masih belum efektifnya langkah preventif untuk pelanggaran lalu lintas, serta masih kurangnya sosialisasi tentang proses penerapan tilang elektronik, yang di buktikan dengan data pelanggaran lalu lintas dari tahun 2017 sampai tahun 2019 mengalami peningkatan angka pelanggaran lalu lintas, 3. Pemasangan CCTV di Kota Makassar, hanya terdapat di beberapa titik, hal tersebut belum bisa menunjang untuk terjadinya kedisiplinan berlalu lintas.","author":[{"dropping-particle":"","family":"Aditya","given":"Sulis","non-dropping-particle":"","parse-names":false,"suffix":""},{"dropping-particle":"","family":"Safriani","given":"Andi","non-dropping-particle":"","parse-names":false,"suffix":""}],"container-title":"Alauddin Law Development Journal","id":"ITEM-1","issue":"1","issued":{"date-parts":[["2020"]]},"page":"74-80","title":"Problematika Penerapan Tilang Elektronik Dalam Mengurangi Pelanggaran Lalu Lintas","type":"article-journal","volume":"2"},"uris":["http://www.mendeley.com/documents/?uuid=caa17468-7e57-4ee0-bfb9-802c6917ad21"]}],"mendeley":{"formattedCitation":"Aditya and Safriani.","plainTextFormattedCitation":"Aditya and Safriani.","previouslyFormattedCitation":"Aditya and Safriani."},"properties":{"noteIndex":32},"schema":"https://github.com/citation-style-language/schema/raw/master/csl-citation.json"}</w:instrText>
      </w:r>
      <w:r>
        <w:fldChar w:fldCharType="separate"/>
      </w:r>
      <w:r w:rsidRPr="00BB4079">
        <w:rPr>
          <w:noProof/>
        </w:rPr>
        <w:t>Aditya and Safriani.</w:t>
      </w:r>
      <w:r>
        <w:fldChar w:fldCharType="end"/>
      </w:r>
    </w:p>
  </w:footnote>
  <w:footnote w:id="33">
    <w:p w14:paraId="2033313F" w14:textId="04C34D8B" w:rsidR="00DD1432" w:rsidRPr="00DD1432" w:rsidRDefault="00DD1432" w:rsidP="00DD1432">
      <w:pPr>
        <w:pStyle w:val="TeksCatatanKaki"/>
        <w:jc w:val="both"/>
        <w:rPr>
          <w:lang w:val="en-US"/>
        </w:rPr>
      </w:pPr>
      <w:r>
        <w:rPr>
          <w:rStyle w:val="ReferensiCatatanKaki"/>
        </w:rPr>
        <w:footnoteRef/>
      </w:r>
      <w:r>
        <w:t xml:space="preserve"> </w:t>
      </w:r>
      <w:r>
        <w:fldChar w:fldCharType="begin" w:fldLock="1"/>
      </w:r>
      <w:r w:rsidR="00555661">
        <w:instrText>ADDIN CSL_CITATION {"citationItems":[{"id":"ITEM-1","itemData":{"abstract":"The purpose of this study is to determine the qualifications of drones both through international law as well as Indonesian national law and to find out the drone operating zone for patrolling national borders. This paper has been prepared using a normative legal writing method that examines in terms of applicable legal norms. The results of the discussion show that related to drone qualifications, it depends on its use. In terms of patrolling state territory, drones are included in the scope of state aircraft so that in international law there is no specific regulation, while in national law, the regulation regarding drones has been specifically regulated. Furthermore, the drone operation zone in the context of patrolling national borders is basically not regulated under international law, but is regulated in the national law of each country. In Indonesia, the regulation regarding drone flights in the context of patrolling national borders is regulated","author":[{"dropping-particle":"","family":"Dewi","given":"Komang Tarisa Felistyana","non-dropping-particle":"","parse-names":false,"suffix":""},{"dropping-particle":"","family":"Sudiarta","given":"I Ketut","non-dropping-particle":"","parse-names":false,"suffix":""}],"container-title":"Jurnal Kertha Desa","id":"ITEM-1","issue":"12","issued":{"date-parts":[["2020"]]},"page":"1391-1402","title":"Pengaturan Penggunaan Drone Untuk Patroli Batas Wilayah Negara Di Indonesia","type":"article-journal","volume":"10"},"uris":["http://www.mendeley.com/documents/?uuid=f58dd493-f6cb-4839-88c0-97384d6a7c6a"]}],"mendeley":{"formattedCitation":"Komang Tarisa Felistyana Dewi and I Ketut Sudiarta, ‘Pengaturan Penggunaan Drone Untuk Patroli Batas Wilayah Negara Di Indonesia’, &lt;i&gt;Jurnal Kertha Desa&lt;/i&gt;, 10.12 (2020), 1391–1402.","plainTextFormattedCitation":"Komang Tarisa Felistyana Dewi and I Ketut Sudiarta, ‘Pengaturan Penggunaan Drone Untuk Patroli Batas Wilayah Negara Di Indonesia’, Jurnal Kertha Desa, 10.12 (2020), 1391–1402.","previouslyFormattedCitation":"Komang Tarisa Felistyana Dewi and I Ketut Sudiarta, ‘Pengaturan Penggunaan Drone Untuk Patroli Batas Wilayah Negara Di Indonesia’, &lt;i&gt;Jurnal Kertha Desa&lt;/i&gt;, 10.12 (2020), 1391–1402."},"properties":{"noteIndex":33},"schema":"https://github.com/citation-style-language/schema/raw/master/csl-citation.json"}</w:instrText>
      </w:r>
      <w:r>
        <w:fldChar w:fldCharType="separate"/>
      </w:r>
      <w:r w:rsidRPr="00DD1432">
        <w:rPr>
          <w:noProof/>
        </w:rPr>
        <w:t xml:space="preserve">Komang Tarisa Felistyana Dewi and I Ketut Sudiarta, ‘Pengaturan Penggunaan Drone Untuk Patroli Batas Wilayah Negara Di Indonesia’, </w:t>
      </w:r>
      <w:r w:rsidRPr="00DD1432">
        <w:rPr>
          <w:i/>
          <w:noProof/>
        </w:rPr>
        <w:t>Jurnal Kertha Desa</w:t>
      </w:r>
      <w:r w:rsidRPr="00DD1432">
        <w:rPr>
          <w:noProof/>
        </w:rPr>
        <w:t>, 10.12 (2020), 1391–1402.</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4AC3" w14:textId="4372F1B6" w:rsidR="006120E4" w:rsidRDefault="00000000">
    <w:pPr>
      <w:pBdr>
        <w:top w:val="nil"/>
        <w:left w:val="nil"/>
        <w:bottom w:val="nil"/>
        <w:right w:val="nil"/>
        <w:between w:val="nil"/>
      </w:pBdr>
      <w:tabs>
        <w:tab w:val="center" w:pos="4680"/>
        <w:tab w:val="right" w:pos="9360"/>
      </w:tabs>
      <w:spacing w:after="0" w:line="240" w:lineRule="auto"/>
      <w:rPr>
        <w:rFonts w:ascii="Constantia" w:eastAsia="Constantia" w:hAnsi="Constantia" w:cs="Constantia"/>
        <w:b/>
        <w:color w:val="000000"/>
        <w:sz w:val="18"/>
        <w:szCs w:val="18"/>
      </w:rPr>
    </w:pPr>
    <w:r>
      <w:rPr>
        <w:rFonts w:ascii="Constantia" w:eastAsia="Constantia" w:hAnsi="Constantia" w:cs="Constantia"/>
        <w:b/>
        <w:color w:val="000000"/>
        <w:sz w:val="18"/>
        <w:szCs w:val="18"/>
      </w:rPr>
      <w:t>J.</w:t>
    </w:r>
    <w:r w:rsidR="00032E5B">
      <w:rPr>
        <w:rFonts w:ascii="Constantia" w:eastAsia="Constantia" w:hAnsi="Constantia" w:cs="Constantia"/>
        <w:b/>
        <w:color w:val="000000"/>
        <w:sz w:val="18"/>
        <w:szCs w:val="18"/>
      </w:rPr>
      <w:t>K</w:t>
    </w:r>
    <w:r>
      <w:rPr>
        <w:rFonts w:ascii="Constantia" w:eastAsia="Constantia" w:hAnsi="Constantia" w:cs="Constantia"/>
        <w:b/>
        <w:color w:val="000000"/>
        <w:sz w:val="18"/>
        <w:szCs w:val="18"/>
      </w:rPr>
      <w:t>.H.</w:t>
    </w:r>
    <w:r w:rsidR="00032E5B">
      <w:rPr>
        <w:rFonts w:ascii="Constantia" w:eastAsia="Constantia" w:hAnsi="Constantia" w:cs="Constantia"/>
        <w:b/>
        <w:color w:val="000000"/>
        <w:sz w:val="18"/>
        <w:szCs w:val="18"/>
      </w:rPr>
      <w:t>S.</w:t>
    </w:r>
    <w:r>
      <w:rPr>
        <w:rFonts w:ascii="Constantia" w:eastAsia="Constantia" w:hAnsi="Constantia" w:cs="Constantia"/>
        <w:color w:val="000000"/>
        <w:sz w:val="18"/>
        <w:szCs w:val="18"/>
      </w:rPr>
      <w:t xml:space="preserve"> Vol. </w:t>
    </w:r>
    <w:r w:rsidR="00F67F0F">
      <w:rPr>
        <w:rFonts w:ascii="Constantia" w:eastAsia="Constantia" w:hAnsi="Constantia" w:cs="Constantia"/>
        <w:color w:val="000000"/>
        <w:sz w:val="18"/>
        <w:szCs w:val="18"/>
      </w:rPr>
      <w:t xml:space="preserve">1 </w:t>
    </w:r>
    <w:r>
      <w:rPr>
        <w:rFonts w:ascii="Constantia" w:eastAsia="Constantia" w:hAnsi="Constantia" w:cs="Constantia"/>
        <w:color w:val="000000"/>
        <w:sz w:val="18"/>
        <w:szCs w:val="18"/>
      </w:rPr>
      <w:t>No.</w:t>
    </w:r>
    <w:r w:rsidR="00F67F0F">
      <w:rPr>
        <w:rFonts w:ascii="Constantia" w:eastAsia="Constantia" w:hAnsi="Constantia" w:cs="Constantia"/>
        <w:color w:val="000000"/>
        <w:sz w:val="18"/>
        <w:szCs w:val="18"/>
      </w:rPr>
      <w:t>1</w:t>
    </w:r>
    <w:r w:rsidR="00032E5B">
      <w:rPr>
        <w:rFonts w:ascii="Constantia" w:eastAsia="Constantia" w:hAnsi="Constantia" w:cs="Constantia"/>
        <w:color w:val="000000"/>
        <w:sz w:val="18"/>
        <w:szCs w:val="18"/>
      </w:rPr>
      <w:t xml:space="preserve"> 20</w:t>
    </w:r>
    <w:r w:rsidR="00F67F0F">
      <w:rPr>
        <w:rFonts w:ascii="Constantia" w:eastAsia="Constantia" w:hAnsi="Constantia" w:cs="Constantia"/>
        <w:color w:val="000000"/>
        <w:sz w:val="18"/>
        <w:szCs w:val="18"/>
      </w:rPr>
      <w:t>24</w:t>
    </w:r>
    <w:r>
      <w:rPr>
        <w:rFonts w:ascii="Constantia" w:eastAsia="Constantia" w:hAnsi="Constantia" w:cs="Constantia"/>
        <w:color w:val="000000"/>
        <w:sz w:val="18"/>
        <w:szCs w:val="18"/>
      </w:rPr>
      <w:t xml:space="preserve">: </w:t>
    </w:r>
    <w:proofErr w:type="spellStart"/>
    <w:r>
      <w:rPr>
        <w:rFonts w:ascii="Constantia" w:eastAsia="Constantia" w:hAnsi="Constantia" w:cs="Constantia"/>
        <w:color w:val="000000"/>
        <w:sz w:val="18"/>
        <w:szCs w:val="18"/>
      </w:rPr>
      <w:t>page</w:t>
    </w:r>
    <w:proofErr w:type="spellEnd"/>
    <w:r w:rsidR="00032E5B">
      <w:rPr>
        <w:rFonts w:ascii="Constantia" w:eastAsia="Constantia" w:hAnsi="Constantia" w:cs="Constantia"/>
        <w:color w:val="000000"/>
        <w:sz w:val="18"/>
        <w:szCs w:val="18"/>
      </w:rPr>
      <w:t xml:space="preserve"> 0</w:t>
    </w:r>
    <w:r w:rsidR="00F67F0F">
      <w:rPr>
        <w:rFonts w:ascii="Constantia" w:eastAsia="Constantia" w:hAnsi="Constantia" w:cs="Constantia"/>
        <w:color w:val="000000"/>
        <w:sz w:val="18"/>
        <w:szCs w:val="18"/>
      </w:rPr>
      <w:t>1</w:t>
    </w:r>
    <w:r w:rsidR="00032E5B">
      <w:rPr>
        <w:rFonts w:ascii="Constantia" w:eastAsia="Constantia" w:hAnsi="Constantia" w:cs="Constantia"/>
        <w:color w:val="000000"/>
        <w:sz w:val="18"/>
        <w:szCs w:val="18"/>
      </w:rPr>
      <w:t>-</w:t>
    </w:r>
    <w:r w:rsidR="00F67F0F">
      <w:rPr>
        <w:rFonts w:ascii="Constantia" w:eastAsia="Constantia" w:hAnsi="Constantia" w:cs="Constantia"/>
        <w:color w:val="000000"/>
        <w:sz w:val="18"/>
        <w:szCs w:val="18"/>
      </w:rPr>
      <w:t>11</w:t>
    </w:r>
    <w:r>
      <w:rPr>
        <w:rFonts w:ascii="Constantia" w:eastAsia="Constantia" w:hAnsi="Constantia" w:cs="Constantia"/>
        <w:color w:val="000000"/>
        <w:sz w:val="18"/>
        <w:szCs w:val="18"/>
      </w:rPr>
      <w:t xml:space="preserve"> | </w:t>
    </w:r>
    <w:r>
      <w:rPr>
        <w:rFonts w:ascii="Constantia" w:eastAsia="Constantia" w:hAnsi="Constantia" w:cs="Constantia"/>
        <w:b/>
        <w:color w:val="000000"/>
        <w:sz w:val="18"/>
        <w:szCs w:val="18"/>
      </w:rPr>
      <w:t xml:space="preserve">DOI: </w:t>
    </w:r>
    <w:hyperlink r:id="rId1">
      <w:r w:rsidR="006120E4">
        <w:rPr>
          <w:rFonts w:ascii="Constantia" w:eastAsia="Constantia" w:hAnsi="Constantia" w:cs="Constantia"/>
          <w:b/>
          <w:color w:val="000000"/>
          <w:sz w:val="18"/>
          <w:szCs w:val="18"/>
        </w:rPr>
        <w:t>………….</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06FB" w14:textId="5592B42F" w:rsidR="00A00380" w:rsidRDefault="00F67F0F" w:rsidP="00A00380">
    <w:pPr>
      <w:spacing w:after="0" w:line="237" w:lineRule="auto"/>
      <w:ind w:left="1211" w:right="94"/>
      <w:jc w:val="right"/>
      <w:rPr>
        <w:rFonts w:ascii="Constantia" w:eastAsia="Constantia" w:hAnsi="Constantia" w:cs="Constantia"/>
        <w:i/>
        <w:color w:val="000000"/>
        <w:sz w:val="18"/>
        <w:szCs w:val="18"/>
      </w:rPr>
    </w:pPr>
    <w:r w:rsidRPr="00F67F0F">
      <w:rPr>
        <w:rFonts w:ascii="Constantia" w:eastAsia="Constantia" w:hAnsi="Constantia" w:cs="Constantia"/>
        <w:i/>
        <w:color w:val="000000"/>
        <w:sz w:val="18"/>
        <w:szCs w:val="18"/>
      </w:rPr>
      <w:t xml:space="preserve">Efektivitas Penggunaan </w:t>
    </w:r>
    <w:proofErr w:type="spellStart"/>
    <w:r w:rsidRPr="00F67F0F">
      <w:rPr>
        <w:rFonts w:ascii="Constantia" w:eastAsia="Constantia" w:hAnsi="Constantia" w:cs="Constantia"/>
        <w:i/>
        <w:color w:val="000000"/>
        <w:sz w:val="18"/>
        <w:szCs w:val="18"/>
      </w:rPr>
      <w:t>Eletronic</w:t>
    </w:r>
    <w:proofErr w:type="spellEnd"/>
    <w:r w:rsidRPr="00F67F0F">
      <w:rPr>
        <w:rFonts w:ascii="Constantia" w:eastAsia="Constantia" w:hAnsi="Constantia" w:cs="Constantia"/>
        <w:i/>
        <w:color w:val="000000"/>
        <w:sz w:val="18"/>
        <w:szCs w:val="18"/>
      </w:rPr>
      <w:t xml:space="preserve"> </w:t>
    </w:r>
    <w:proofErr w:type="spellStart"/>
    <w:r w:rsidRPr="00F67F0F">
      <w:rPr>
        <w:rFonts w:ascii="Constantia" w:eastAsia="Constantia" w:hAnsi="Constantia" w:cs="Constantia"/>
        <w:i/>
        <w:color w:val="000000"/>
        <w:sz w:val="18"/>
        <w:szCs w:val="18"/>
      </w:rPr>
      <w:t>Traffic</w:t>
    </w:r>
    <w:proofErr w:type="spellEnd"/>
    <w:r w:rsidRPr="00F67F0F">
      <w:rPr>
        <w:rFonts w:ascii="Constantia" w:eastAsia="Constantia" w:hAnsi="Constantia" w:cs="Constantia"/>
        <w:i/>
        <w:color w:val="000000"/>
        <w:sz w:val="18"/>
        <w:szCs w:val="18"/>
      </w:rPr>
      <w:t xml:space="preserve"> Law </w:t>
    </w:r>
    <w:proofErr w:type="spellStart"/>
    <w:r w:rsidRPr="00F67F0F">
      <w:rPr>
        <w:rFonts w:ascii="Constantia" w:eastAsia="Constantia" w:hAnsi="Constantia" w:cs="Constantia"/>
        <w:i/>
        <w:color w:val="000000"/>
        <w:sz w:val="18"/>
        <w:szCs w:val="18"/>
      </w:rPr>
      <w:t>Enforcement</w:t>
    </w:r>
    <w:proofErr w:type="spellEnd"/>
    <w:r w:rsidRPr="00F67F0F">
      <w:rPr>
        <w:rFonts w:ascii="Constantia" w:eastAsia="Constantia" w:hAnsi="Constantia" w:cs="Constantia"/>
        <w:i/>
        <w:color w:val="000000"/>
        <w:sz w:val="18"/>
        <w:szCs w:val="18"/>
      </w:rPr>
      <w:t xml:space="preserve"> Di Purwokerto</w:t>
    </w:r>
    <w:r w:rsidR="00A00380">
      <w:rPr>
        <w:rFonts w:ascii="Constantia" w:eastAsia="Constantia" w:hAnsi="Constantia" w:cs="Constantia"/>
        <w:i/>
        <w:color w:val="000000"/>
        <w:sz w:val="18"/>
        <w:szCs w:val="18"/>
      </w:rPr>
      <w:t xml:space="preserve"> </w:t>
    </w:r>
  </w:p>
  <w:p w14:paraId="7BE7BC2C" w14:textId="14F199ED" w:rsidR="00A00380" w:rsidRDefault="00F67F0F" w:rsidP="00A00380">
    <w:pPr>
      <w:spacing w:after="0" w:line="237" w:lineRule="auto"/>
      <w:ind w:left="1211" w:right="94"/>
      <w:jc w:val="right"/>
      <w:rPr>
        <w:rFonts w:ascii="Constantia" w:eastAsia="Constantia" w:hAnsi="Constantia" w:cs="Constantia"/>
        <w:color w:val="000000"/>
      </w:rPr>
    </w:pPr>
    <w:r>
      <w:rPr>
        <w:rFonts w:ascii="Constantia" w:eastAsia="Constantia" w:hAnsi="Constantia" w:cs="Constantia"/>
        <w:b/>
        <w:i/>
        <w:color w:val="000000"/>
        <w:sz w:val="18"/>
        <w:szCs w:val="18"/>
      </w:rPr>
      <w:t>David Satria Kelana</w:t>
    </w:r>
  </w:p>
  <w:p w14:paraId="042AE0E5" w14:textId="77777777" w:rsidR="00A00380" w:rsidRDefault="00A00380" w:rsidP="00A00380">
    <w:pPr>
      <w:pBdr>
        <w:top w:val="nil"/>
        <w:left w:val="nil"/>
        <w:bottom w:val="nil"/>
        <w:right w:val="nil"/>
        <w:between w:val="nil"/>
      </w:pBdr>
      <w:tabs>
        <w:tab w:val="center" w:pos="4680"/>
        <w:tab w:val="right" w:pos="9360"/>
      </w:tabs>
      <w:spacing w:after="0" w:line="240" w:lineRule="auto"/>
      <w:rPr>
        <w:color w:val="000000"/>
        <w:szCs w:val="22"/>
      </w:rPr>
    </w:pPr>
  </w:p>
  <w:p w14:paraId="0792912C" w14:textId="6AA8ADA8" w:rsidR="006120E4" w:rsidRPr="00A00380" w:rsidRDefault="006120E4" w:rsidP="00A00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24BEA"/>
    <w:multiLevelType w:val="hybridMultilevel"/>
    <w:tmpl w:val="203AD3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1737BA5"/>
    <w:multiLevelType w:val="multilevel"/>
    <w:tmpl w:val="6D1C3C2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4F178F3"/>
    <w:multiLevelType w:val="hybridMultilevel"/>
    <w:tmpl w:val="B6D69D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7B0414D"/>
    <w:multiLevelType w:val="multilevel"/>
    <w:tmpl w:val="DD70B67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F7F5DAF"/>
    <w:multiLevelType w:val="hybridMultilevel"/>
    <w:tmpl w:val="080C3148"/>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326D395C"/>
    <w:multiLevelType w:val="multilevel"/>
    <w:tmpl w:val="5C6AA3A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42E7657C"/>
    <w:multiLevelType w:val="hybridMultilevel"/>
    <w:tmpl w:val="14F2DEFE"/>
    <w:lvl w:ilvl="0" w:tplc="E0E67972">
      <w:start w:val="2"/>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3A237A0"/>
    <w:multiLevelType w:val="hybridMultilevel"/>
    <w:tmpl w:val="76BC8690"/>
    <w:lvl w:ilvl="0" w:tplc="58D092FC">
      <w:start w:val="1"/>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AF11DA8"/>
    <w:multiLevelType w:val="hybridMultilevel"/>
    <w:tmpl w:val="F8E8879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634B7AAA"/>
    <w:multiLevelType w:val="hybridMultilevel"/>
    <w:tmpl w:val="18D6202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650244C9"/>
    <w:multiLevelType w:val="hybridMultilevel"/>
    <w:tmpl w:val="8C8678D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1109742909">
    <w:abstractNumId w:val="3"/>
  </w:num>
  <w:num w:numId="2" w16cid:durableId="1867674546">
    <w:abstractNumId w:val="1"/>
  </w:num>
  <w:num w:numId="3" w16cid:durableId="1753046742">
    <w:abstractNumId w:val="5"/>
  </w:num>
  <w:num w:numId="4" w16cid:durableId="1554847990">
    <w:abstractNumId w:val="8"/>
  </w:num>
  <w:num w:numId="5" w16cid:durableId="116458593">
    <w:abstractNumId w:val="2"/>
  </w:num>
  <w:num w:numId="6" w16cid:durableId="795222764">
    <w:abstractNumId w:val="9"/>
  </w:num>
  <w:num w:numId="7" w16cid:durableId="348145038">
    <w:abstractNumId w:val="0"/>
  </w:num>
  <w:num w:numId="8" w16cid:durableId="882208387">
    <w:abstractNumId w:val="10"/>
  </w:num>
  <w:num w:numId="9" w16cid:durableId="707797853">
    <w:abstractNumId w:val="7"/>
  </w:num>
  <w:num w:numId="10" w16cid:durableId="976451703">
    <w:abstractNumId w:val="6"/>
  </w:num>
  <w:num w:numId="11" w16cid:durableId="1035161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0E4"/>
    <w:rsid w:val="000020DA"/>
    <w:rsid w:val="00032E5B"/>
    <w:rsid w:val="00092DE3"/>
    <w:rsid w:val="000E36B9"/>
    <w:rsid w:val="001A0380"/>
    <w:rsid w:val="002108CE"/>
    <w:rsid w:val="00253DF4"/>
    <w:rsid w:val="002A3BA1"/>
    <w:rsid w:val="002C7188"/>
    <w:rsid w:val="00310C62"/>
    <w:rsid w:val="003A07FF"/>
    <w:rsid w:val="003D6CB4"/>
    <w:rsid w:val="00444553"/>
    <w:rsid w:val="00460248"/>
    <w:rsid w:val="00484193"/>
    <w:rsid w:val="004E5CED"/>
    <w:rsid w:val="0051015C"/>
    <w:rsid w:val="00513485"/>
    <w:rsid w:val="00555661"/>
    <w:rsid w:val="005D4B24"/>
    <w:rsid w:val="006120E4"/>
    <w:rsid w:val="006D5B7F"/>
    <w:rsid w:val="006F0936"/>
    <w:rsid w:val="006F1F87"/>
    <w:rsid w:val="007547A5"/>
    <w:rsid w:val="0084594A"/>
    <w:rsid w:val="00854631"/>
    <w:rsid w:val="008627C7"/>
    <w:rsid w:val="00863F2A"/>
    <w:rsid w:val="008644A8"/>
    <w:rsid w:val="00876F97"/>
    <w:rsid w:val="008A33CD"/>
    <w:rsid w:val="008B7FC3"/>
    <w:rsid w:val="008E6904"/>
    <w:rsid w:val="008F30FC"/>
    <w:rsid w:val="00917FB5"/>
    <w:rsid w:val="00991E30"/>
    <w:rsid w:val="009A5662"/>
    <w:rsid w:val="00A00380"/>
    <w:rsid w:val="00A06ABC"/>
    <w:rsid w:val="00B17075"/>
    <w:rsid w:val="00B27831"/>
    <w:rsid w:val="00B36CCE"/>
    <w:rsid w:val="00B90C4B"/>
    <w:rsid w:val="00B9452C"/>
    <w:rsid w:val="00BB4079"/>
    <w:rsid w:val="00C01FD5"/>
    <w:rsid w:val="00C40FD5"/>
    <w:rsid w:val="00D103B2"/>
    <w:rsid w:val="00DB5DEA"/>
    <w:rsid w:val="00DD1432"/>
    <w:rsid w:val="00DD63C2"/>
    <w:rsid w:val="00DE6486"/>
    <w:rsid w:val="00F52906"/>
    <w:rsid w:val="00F67F0F"/>
    <w:rsid w:val="00F90779"/>
    <w:rsid w:val="00FA1629"/>
    <w:rsid w:val="00FE3612"/>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2636D0"/>
  <w15:docId w15:val="{D6996B54-F575-4679-8EC4-34DAD0D5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F87"/>
    <w:rPr>
      <w:szCs w:val="28"/>
      <w:lang w:bidi="bn-IN"/>
    </w:rPr>
  </w:style>
  <w:style w:type="paragraph" w:styleId="Judul1">
    <w:name w:val="heading 1"/>
    <w:next w:val="Normal"/>
    <w:link w:val="Judul1KAR"/>
    <w:uiPriority w:val="9"/>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Judul2">
    <w:name w:val="heading 2"/>
    <w:next w:val="Normal"/>
    <w:link w:val="Judul2KAR"/>
    <w:uiPriority w:val="9"/>
    <w:unhideWhenUsed/>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Judul3">
    <w:name w:val="heading 3"/>
    <w:next w:val="Normal"/>
    <w:link w:val="Judul3KAR"/>
    <w:uiPriority w:val="9"/>
    <w:unhideWhenUsed/>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Judul4">
    <w:name w:val="heading 4"/>
    <w:basedOn w:val="Normal"/>
    <w:next w:val="Normal"/>
    <w:link w:val="Judul4KAR"/>
    <w:uiPriority w:val="9"/>
    <w:semiHidden/>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paragraph" w:styleId="Judul5">
    <w:name w:val="heading 5"/>
    <w:basedOn w:val="Normal"/>
    <w:next w:val="Normal"/>
    <w:uiPriority w:val="9"/>
    <w:semiHidden/>
    <w:unhideWhenUsed/>
    <w:qFormat/>
    <w:pPr>
      <w:keepNext/>
      <w:keepLines/>
      <w:spacing w:before="220" w:after="40"/>
      <w:outlineLvl w:val="4"/>
    </w:pPr>
    <w:rPr>
      <w:b/>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link w:val="JudulK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paragraph" w:styleId="TeksCatatanKaki">
    <w:name w:val="footnote text"/>
    <w:basedOn w:val="Normal"/>
    <w:link w:val="TeksCatatanKakiKAR"/>
    <w:uiPriority w:val="99"/>
    <w:rsid w:val="00934130"/>
    <w:pPr>
      <w:spacing w:after="0" w:line="240" w:lineRule="auto"/>
    </w:pPr>
    <w:rPr>
      <w:rFonts w:ascii="Times New Roman" w:eastAsia="SimSun" w:hAnsi="Times New Roman"/>
      <w:sz w:val="20"/>
      <w:szCs w:val="20"/>
      <w:lang w:eastAsia="zh-CN" w:bidi="ar-SA"/>
    </w:rPr>
  </w:style>
  <w:style w:type="character" w:customStyle="1" w:styleId="TeksCatatanKakiKAR">
    <w:name w:val="Teks Catatan Kaki KAR"/>
    <w:link w:val="TeksCatatanKaki"/>
    <w:uiPriority w:val="99"/>
    <w:rsid w:val="00934130"/>
    <w:rPr>
      <w:rFonts w:ascii="Times New Roman" w:eastAsia="SimSun" w:hAnsi="Times New Roman" w:cs="Times New Roman"/>
      <w:sz w:val="20"/>
      <w:szCs w:val="20"/>
      <w:lang w:eastAsia="zh-CN" w:bidi="ar-SA"/>
    </w:rPr>
  </w:style>
  <w:style w:type="character" w:styleId="ReferensiCatatanKaki">
    <w:name w:val="footnote reference"/>
    <w:uiPriority w:val="99"/>
    <w:rsid w:val="00934130"/>
    <w:rPr>
      <w:vertAlign w:val="superscript"/>
    </w:rPr>
  </w:style>
  <w:style w:type="paragraph" w:styleId="DaftarParagraf">
    <w:name w:val="List Paragraph"/>
    <w:basedOn w:val="Normal"/>
    <w:link w:val="DaftarParagrafKAR"/>
    <w:uiPriority w:val="34"/>
    <w:qFormat/>
    <w:rsid w:val="00C37A21"/>
    <w:pPr>
      <w:ind w:left="720"/>
      <w:contextualSpacing/>
    </w:pPr>
  </w:style>
  <w:style w:type="paragraph" w:styleId="TeksBalon">
    <w:name w:val="Balloon Text"/>
    <w:basedOn w:val="Normal"/>
    <w:link w:val="TeksBalonKAR"/>
    <w:uiPriority w:val="99"/>
    <w:semiHidden/>
    <w:unhideWhenUsed/>
    <w:rsid w:val="00643BF3"/>
    <w:pPr>
      <w:spacing w:after="0" w:line="240" w:lineRule="auto"/>
    </w:pPr>
    <w:rPr>
      <w:rFonts w:ascii="Tahoma" w:hAnsi="Tahoma" w:cs="Tahoma"/>
      <w:sz w:val="16"/>
      <w:szCs w:val="20"/>
    </w:rPr>
  </w:style>
  <w:style w:type="character" w:customStyle="1" w:styleId="TeksBalonKAR">
    <w:name w:val="Teks Balon KAR"/>
    <w:link w:val="TeksBalon"/>
    <w:uiPriority w:val="99"/>
    <w:semiHidden/>
    <w:rsid w:val="00643BF3"/>
    <w:rPr>
      <w:rFonts w:ascii="Tahoma" w:hAnsi="Tahoma" w:cs="Tahoma"/>
      <w:sz w:val="16"/>
      <w:szCs w:val="20"/>
    </w:rPr>
  </w:style>
  <w:style w:type="paragraph" w:styleId="Bibliografi">
    <w:name w:val="Bibliography"/>
    <w:basedOn w:val="Normal"/>
    <w:next w:val="Normal"/>
    <w:uiPriority w:val="37"/>
    <w:unhideWhenUsed/>
    <w:rsid w:val="00D44E17"/>
  </w:style>
  <w:style w:type="paragraph" w:styleId="TidakAdaSpasi">
    <w:name w:val="No Spacing"/>
    <w:uiPriority w:val="1"/>
    <w:qFormat/>
    <w:rsid w:val="001A55CA"/>
    <w:pPr>
      <w:jc w:val="both"/>
    </w:pPr>
  </w:style>
  <w:style w:type="paragraph" w:styleId="Header">
    <w:name w:val="header"/>
    <w:basedOn w:val="Normal"/>
    <w:link w:val="HeaderKAR"/>
    <w:uiPriority w:val="99"/>
    <w:unhideWhenUsed/>
    <w:rsid w:val="00A00C6D"/>
    <w:pPr>
      <w:tabs>
        <w:tab w:val="center" w:pos="4680"/>
        <w:tab w:val="right" w:pos="9360"/>
      </w:tabs>
      <w:spacing w:after="0" w:line="240" w:lineRule="auto"/>
    </w:pPr>
  </w:style>
  <w:style w:type="character" w:customStyle="1" w:styleId="HeaderKAR">
    <w:name w:val="Header KAR"/>
    <w:basedOn w:val="FontParagrafDefault"/>
    <w:link w:val="Header"/>
    <w:uiPriority w:val="99"/>
    <w:rsid w:val="00A00C6D"/>
  </w:style>
  <w:style w:type="paragraph" w:styleId="Footer">
    <w:name w:val="footer"/>
    <w:basedOn w:val="Normal"/>
    <w:link w:val="FooterKAR"/>
    <w:uiPriority w:val="99"/>
    <w:unhideWhenUsed/>
    <w:rsid w:val="00A00C6D"/>
    <w:pPr>
      <w:tabs>
        <w:tab w:val="center" w:pos="4680"/>
        <w:tab w:val="right" w:pos="9360"/>
      </w:tabs>
      <w:spacing w:after="0" w:line="240" w:lineRule="auto"/>
    </w:pPr>
  </w:style>
  <w:style w:type="character" w:customStyle="1" w:styleId="FooterKAR">
    <w:name w:val="Footer KAR"/>
    <w:basedOn w:val="FontParagrafDefault"/>
    <w:link w:val="Footer"/>
    <w:uiPriority w:val="99"/>
    <w:rsid w:val="00A00C6D"/>
  </w:style>
  <w:style w:type="paragraph" w:styleId="TeksCatatanAkhir">
    <w:name w:val="endnote text"/>
    <w:basedOn w:val="Normal"/>
    <w:link w:val="TeksCatatanAkhirKAR"/>
    <w:uiPriority w:val="99"/>
    <w:semiHidden/>
    <w:unhideWhenUsed/>
    <w:rsid w:val="007811FE"/>
    <w:pPr>
      <w:spacing w:after="0" w:line="240" w:lineRule="auto"/>
    </w:pPr>
    <w:rPr>
      <w:sz w:val="20"/>
      <w:szCs w:val="25"/>
    </w:rPr>
  </w:style>
  <w:style w:type="character" w:customStyle="1" w:styleId="TeksCatatanAkhirKAR">
    <w:name w:val="Teks Catatan Akhir KAR"/>
    <w:link w:val="TeksCatatanAkhir"/>
    <w:uiPriority w:val="99"/>
    <w:semiHidden/>
    <w:rsid w:val="007811FE"/>
    <w:rPr>
      <w:sz w:val="20"/>
      <w:szCs w:val="25"/>
    </w:rPr>
  </w:style>
  <w:style w:type="character" w:styleId="ReferensiCatatanAkhir">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TidakAdaSpasi"/>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TeksIsi2">
    <w:name w:val="Body Text 2"/>
    <w:basedOn w:val="Normal"/>
    <w:link w:val="TeksIsi2K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TeksIsi2KAR">
    <w:name w:val="Teks Isi 2 KAR"/>
    <w:link w:val="TeksIsi2"/>
    <w:semiHidden/>
    <w:rsid w:val="00FC7AE1"/>
    <w:rPr>
      <w:rFonts w:ascii="Times New Roman" w:eastAsia="Times New Roman" w:hAnsi="Times New Roman" w:cs="Times New Roman"/>
      <w:sz w:val="26"/>
      <w:szCs w:val="20"/>
      <w:lang w:bidi="ar-SA"/>
    </w:rPr>
  </w:style>
  <w:style w:type="character" w:styleId="ReferensiKomentar">
    <w:name w:val="annotation reference"/>
    <w:uiPriority w:val="99"/>
    <w:semiHidden/>
    <w:unhideWhenUsed/>
    <w:rsid w:val="000F3B4F"/>
    <w:rPr>
      <w:sz w:val="16"/>
      <w:szCs w:val="16"/>
    </w:rPr>
  </w:style>
  <w:style w:type="paragraph" w:styleId="TeksKomentar">
    <w:name w:val="annotation text"/>
    <w:basedOn w:val="Normal"/>
    <w:link w:val="TeksKomentarKAR"/>
    <w:uiPriority w:val="99"/>
    <w:unhideWhenUsed/>
    <w:rsid w:val="000F3B4F"/>
    <w:pPr>
      <w:spacing w:line="240" w:lineRule="auto"/>
    </w:pPr>
    <w:rPr>
      <w:sz w:val="20"/>
      <w:szCs w:val="25"/>
    </w:rPr>
  </w:style>
  <w:style w:type="character" w:customStyle="1" w:styleId="TeksKomentarKAR">
    <w:name w:val="Teks Komentar KAR"/>
    <w:link w:val="TeksKomentar"/>
    <w:uiPriority w:val="99"/>
    <w:rsid w:val="000F3B4F"/>
    <w:rPr>
      <w:sz w:val="20"/>
      <w:szCs w:val="25"/>
    </w:rPr>
  </w:style>
  <w:style w:type="paragraph" w:styleId="SubjekKomentar">
    <w:name w:val="annotation subject"/>
    <w:basedOn w:val="TeksKomentar"/>
    <w:next w:val="TeksKomentar"/>
    <w:link w:val="SubjekKomentarKAR"/>
    <w:uiPriority w:val="99"/>
    <w:semiHidden/>
    <w:unhideWhenUsed/>
    <w:rsid w:val="000F3B4F"/>
    <w:rPr>
      <w:b/>
      <w:bCs/>
    </w:rPr>
  </w:style>
  <w:style w:type="character" w:customStyle="1" w:styleId="SubjekKomentarKAR">
    <w:name w:val="Subjek Komentar KAR"/>
    <w:link w:val="SubjekKomentar"/>
    <w:uiPriority w:val="99"/>
    <w:semiHidden/>
    <w:rsid w:val="000F3B4F"/>
    <w:rPr>
      <w:b/>
      <w:bCs/>
      <w:sz w:val="20"/>
      <w:szCs w:val="25"/>
    </w:rPr>
  </w:style>
  <w:style w:type="character" w:customStyle="1" w:styleId="apple-converted-space">
    <w:name w:val="apple-converted-space"/>
    <w:basedOn w:val="FontParagrafDefaul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Judul1KAR">
    <w:name w:val="Judul 1 KAR"/>
    <w:link w:val="Judul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Judul2KAR">
    <w:name w:val="Judul 2 KAR"/>
    <w:link w:val="Judul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Judul3KAR">
    <w:name w:val="Judul 3 KAR"/>
    <w:link w:val="Judul3"/>
    <w:rsid w:val="00ED3A3F"/>
    <w:rPr>
      <w:rFonts w:ascii="Times New Roman" w:eastAsia="Times New Roman" w:hAnsi="Times New Roman" w:cs="Times New Roman"/>
      <w:color w:val="000000"/>
      <w:sz w:val="24"/>
      <w:szCs w:val="24"/>
      <w:u w:color="000000"/>
      <w:bdr w:val="nil"/>
      <w:lang w:eastAsia="fi-FI" w:bidi="ar-SA"/>
    </w:rPr>
  </w:style>
  <w:style w:type="character" w:customStyle="1" w:styleId="Judul4KAR">
    <w:name w:val="Judul 4 KAR"/>
    <w:link w:val="Judul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JudulTOC">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u w:color="000000"/>
      <w:bdr w:val="nil"/>
      <w:lang w:val="fi-FI" w:eastAsia="fi-FI"/>
    </w:rPr>
  </w:style>
  <w:style w:type="character" w:customStyle="1" w:styleId="JudulKAR">
    <w:name w:val="Judul KAR"/>
    <w:link w:val="Judul"/>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Judul2"/>
    <w:rsid w:val="00ED3A3F"/>
    <w:rPr>
      <w:b/>
    </w:rPr>
  </w:style>
  <w:style w:type="paragraph" w:customStyle="1" w:styleId="Heading21">
    <w:name w:val="Heading 21"/>
    <w:basedOn w:val="Judul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HiperlinkyangDiikuti">
    <w:name w:val="FollowedHyperlink"/>
    <w:uiPriority w:val="99"/>
    <w:semiHidden/>
    <w:unhideWhenUsed/>
    <w:rsid w:val="00ED3A3F"/>
    <w:rPr>
      <w:color w:val="800080"/>
      <w:u w:val="single"/>
    </w:rPr>
  </w:style>
  <w:style w:type="paragraph" w:styleId="Revisi">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FontParagrafDefault"/>
    <w:rsid w:val="00ED3A3F"/>
  </w:style>
  <w:style w:type="table" w:styleId="KisiTabel">
    <w:name w:val="Table Grid"/>
    <w:basedOn w:val="TabelNormal"/>
    <w:uiPriority w:val="3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uiPriority w:val="99"/>
    <w:semiHidden/>
    <w:rsid w:val="00363A61"/>
    <w:rPr>
      <w:color w:val="808080"/>
    </w:rPr>
  </w:style>
  <w:style w:type="character" w:styleId="Penekanan">
    <w:name w:val="Emphasis"/>
    <w:uiPriority w:val="20"/>
    <w:qFormat/>
    <w:rsid w:val="003045E4"/>
    <w:rPr>
      <w:i/>
      <w:iCs/>
    </w:rPr>
  </w:style>
  <w:style w:type="character" w:customStyle="1" w:styleId="hps">
    <w:name w:val="hps"/>
    <w:rsid w:val="007B6169"/>
  </w:style>
  <w:style w:type="character" w:styleId="NomorHalaman">
    <w:name w:val="page number"/>
    <w:rsid w:val="00C87670"/>
  </w:style>
  <w:style w:type="paragraph" w:styleId="HTMLSudahDiformat">
    <w:name w:val="HTML Preformatted"/>
    <w:basedOn w:val="Normal"/>
    <w:link w:val="HTMLSudahDiformatKAR"/>
    <w:uiPriority w:val="99"/>
    <w:unhideWhenUsed/>
    <w:rsid w:val="0061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SudahDiformatKAR">
    <w:name w:val="HTML Sudah Diformat KAR"/>
    <w:link w:val="HTMLSudahDiformat"/>
    <w:uiPriority w:val="99"/>
    <w:rsid w:val="006120DF"/>
    <w:rPr>
      <w:rFonts w:ascii="Courier New" w:eastAsia="Times New Roman" w:hAnsi="Courier New"/>
      <w:lang w:val="en-AU" w:eastAsia="en-AU"/>
    </w:rPr>
  </w:style>
  <w:style w:type="character" w:customStyle="1" w:styleId="DaftarParagrafKAR">
    <w:name w:val="Daftar Paragraf KAR"/>
    <w:link w:val="DaftarParagraf"/>
    <w:uiPriority w:val="34"/>
    <w:locked/>
    <w:rsid w:val="009A4549"/>
    <w:rPr>
      <w:sz w:val="22"/>
      <w:szCs w:val="28"/>
      <w:lang w:val="en-US" w:eastAsia="en-US" w:bidi="bn-IN"/>
    </w:rPr>
  </w:style>
  <w:style w:type="character" w:customStyle="1" w:styleId="producttitle">
    <w:name w:val="product_title"/>
    <w:rsid w:val="0017060D"/>
  </w:style>
  <w:style w:type="character" w:customStyle="1" w:styleId="st">
    <w:name w:val="st"/>
    <w:rsid w:val="0017060D"/>
  </w:style>
  <w:style w:type="paragraph" w:styleId="NormalWeb">
    <w:name w:val="Normal (Web)"/>
    <w:basedOn w:val="Normal"/>
    <w:uiPriority w:val="99"/>
    <w:unhideWhenUsed/>
    <w:rsid w:val="00B14847"/>
    <w:pPr>
      <w:spacing w:before="100" w:beforeAutospacing="1" w:after="100" w:afterAutospacing="1" w:line="240" w:lineRule="auto"/>
    </w:pPr>
    <w:rPr>
      <w:rFonts w:ascii="Times New Roman" w:eastAsia="Times New Roman" w:hAnsi="Times New Roman"/>
      <w:sz w:val="24"/>
      <w:szCs w:val="24"/>
      <w:lang w:eastAsia="id-ID" w:bidi="ar-SA"/>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CellMar>
        <w:left w:w="115" w:type="dxa"/>
        <w:right w:w="115" w:type="dxa"/>
      </w:tblCellMar>
    </w:tblPr>
  </w:style>
  <w:style w:type="table" w:styleId="TabelBiasa2">
    <w:name w:val="Plain Table 2"/>
    <w:basedOn w:val="TabelNormal"/>
    <w:uiPriority w:val="42"/>
    <w:rsid w:val="00484193"/>
    <w:pPr>
      <w:spacing w:after="0" w:line="240" w:lineRule="auto"/>
    </w:pPr>
    <w:rPr>
      <w:rFonts w:asciiTheme="minorHAnsi" w:eastAsiaTheme="minorHAnsi" w:hAnsiTheme="minorHAnsi" w:cstheme="minorBidi"/>
      <w:lang w:val="en-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ebutanYangBelumTerselesaikan">
    <w:name w:val="Unresolved Mention"/>
    <w:basedOn w:val="FontParagrafDefault"/>
    <w:uiPriority w:val="99"/>
    <w:semiHidden/>
    <w:unhideWhenUsed/>
    <w:rsid w:val="002C71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4327">
      <w:bodyDiv w:val="1"/>
      <w:marLeft w:val="0"/>
      <w:marRight w:val="0"/>
      <w:marTop w:val="0"/>
      <w:marBottom w:val="0"/>
      <w:divBdr>
        <w:top w:val="none" w:sz="0" w:space="0" w:color="auto"/>
        <w:left w:val="none" w:sz="0" w:space="0" w:color="auto"/>
        <w:bottom w:val="none" w:sz="0" w:space="0" w:color="auto"/>
        <w:right w:val="none" w:sz="0" w:space="0" w:color="auto"/>
      </w:divBdr>
    </w:div>
    <w:div w:id="206647776">
      <w:bodyDiv w:val="1"/>
      <w:marLeft w:val="0"/>
      <w:marRight w:val="0"/>
      <w:marTop w:val="0"/>
      <w:marBottom w:val="0"/>
      <w:divBdr>
        <w:top w:val="none" w:sz="0" w:space="0" w:color="auto"/>
        <w:left w:val="none" w:sz="0" w:space="0" w:color="auto"/>
        <w:bottom w:val="none" w:sz="0" w:space="0" w:color="auto"/>
        <w:right w:val="none" w:sz="0" w:space="0" w:color="auto"/>
      </w:divBdr>
    </w:div>
    <w:div w:id="241139417">
      <w:bodyDiv w:val="1"/>
      <w:marLeft w:val="0"/>
      <w:marRight w:val="0"/>
      <w:marTop w:val="0"/>
      <w:marBottom w:val="0"/>
      <w:divBdr>
        <w:top w:val="none" w:sz="0" w:space="0" w:color="auto"/>
        <w:left w:val="none" w:sz="0" w:space="0" w:color="auto"/>
        <w:bottom w:val="none" w:sz="0" w:space="0" w:color="auto"/>
        <w:right w:val="none" w:sz="0" w:space="0" w:color="auto"/>
      </w:divBdr>
    </w:div>
    <w:div w:id="307708160">
      <w:bodyDiv w:val="1"/>
      <w:marLeft w:val="0"/>
      <w:marRight w:val="0"/>
      <w:marTop w:val="0"/>
      <w:marBottom w:val="0"/>
      <w:divBdr>
        <w:top w:val="none" w:sz="0" w:space="0" w:color="auto"/>
        <w:left w:val="none" w:sz="0" w:space="0" w:color="auto"/>
        <w:bottom w:val="none" w:sz="0" w:space="0" w:color="auto"/>
        <w:right w:val="none" w:sz="0" w:space="0" w:color="auto"/>
      </w:divBdr>
    </w:div>
    <w:div w:id="372580675">
      <w:bodyDiv w:val="1"/>
      <w:marLeft w:val="0"/>
      <w:marRight w:val="0"/>
      <w:marTop w:val="0"/>
      <w:marBottom w:val="0"/>
      <w:divBdr>
        <w:top w:val="none" w:sz="0" w:space="0" w:color="auto"/>
        <w:left w:val="none" w:sz="0" w:space="0" w:color="auto"/>
        <w:bottom w:val="none" w:sz="0" w:space="0" w:color="auto"/>
        <w:right w:val="none" w:sz="0" w:space="0" w:color="auto"/>
      </w:divBdr>
    </w:div>
    <w:div w:id="415594136">
      <w:bodyDiv w:val="1"/>
      <w:marLeft w:val="0"/>
      <w:marRight w:val="0"/>
      <w:marTop w:val="0"/>
      <w:marBottom w:val="0"/>
      <w:divBdr>
        <w:top w:val="none" w:sz="0" w:space="0" w:color="auto"/>
        <w:left w:val="none" w:sz="0" w:space="0" w:color="auto"/>
        <w:bottom w:val="none" w:sz="0" w:space="0" w:color="auto"/>
        <w:right w:val="none" w:sz="0" w:space="0" w:color="auto"/>
      </w:divBdr>
    </w:div>
    <w:div w:id="434441830">
      <w:bodyDiv w:val="1"/>
      <w:marLeft w:val="0"/>
      <w:marRight w:val="0"/>
      <w:marTop w:val="0"/>
      <w:marBottom w:val="0"/>
      <w:divBdr>
        <w:top w:val="none" w:sz="0" w:space="0" w:color="auto"/>
        <w:left w:val="none" w:sz="0" w:space="0" w:color="auto"/>
        <w:bottom w:val="none" w:sz="0" w:space="0" w:color="auto"/>
        <w:right w:val="none" w:sz="0" w:space="0" w:color="auto"/>
      </w:divBdr>
    </w:div>
    <w:div w:id="600378416">
      <w:bodyDiv w:val="1"/>
      <w:marLeft w:val="0"/>
      <w:marRight w:val="0"/>
      <w:marTop w:val="0"/>
      <w:marBottom w:val="0"/>
      <w:divBdr>
        <w:top w:val="none" w:sz="0" w:space="0" w:color="auto"/>
        <w:left w:val="none" w:sz="0" w:space="0" w:color="auto"/>
        <w:bottom w:val="none" w:sz="0" w:space="0" w:color="auto"/>
        <w:right w:val="none" w:sz="0" w:space="0" w:color="auto"/>
      </w:divBdr>
    </w:div>
    <w:div w:id="702285016">
      <w:bodyDiv w:val="1"/>
      <w:marLeft w:val="0"/>
      <w:marRight w:val="0"/>
      <w:marTop w:val="0"/>
      <w:marBottom w:val="0"/>
      <w:divBdr>
        <w:top w:val="none" w:sz="0" w:space="0" w:color="auto"/>
        <w:left w:val="none" w:sz="0" w:space="0" w:color="auto"/>
        <w:bottom w:val="none" w:sz="0" w:space="0" w:color="auto"/>
        <w:right w:val="none" w:sz="0" w:space="0" w:color="auto"/>
      </w:divBdr>
    </w:div>
    <w:div w:id="847139998">
      <w:bodyDiv w:val="1"/>
      <w:marLeft w:val="0"/>
      <w:marRight w:val="0"/>
      <w:marTop w:val="0"/>
      <w:marBottom w:val="0"/>
      <w:divBdr>
        <w:top w:val="none" w:sz="0" w:space="0" w:color="auto"/>
        <w:left w:val="none" w:sz="0" w:space="0" w:color="auto"/>
        <w:bottom w:val="none" w:sz="0" w:space="0" w:color="auto"/>
        <w:right w:val="none" w:sz="0" w:space="0" w:color="auto"/>
      </w:divBdr>
    </w:div>
    <w:div w:id="859973027">
      <w:bodyDiv w:val="1"/>
      <w:marLeft w:val="0"/>
      <w:marRight w:val="0"/>
      <w:marTop w:val="0"/>
      <w:marBottom w:val="0"/>
      <w:divBdr>
        <w:top w:val="none" w:sz="0" w:space="0" w:color="auto"/>
        <w:left w:val="none" w:sz="0" w:space="0" w:color="auto"/>
        <w:bottom w:val="none" w:sz="0" w:space="0" w:color="auto"/>
        <w:right w:val="none" w:sz="0" w:space="0" w:color="auto"/>
      </w:divBdr>
    </w:div>
    <w:div w:id="1156923590">
      <w:bodyDiv w:val="1"/>
      <w:marLeft w:val="0"/>
      <w:marRight w:val="0"/>
      <w:marTop w:val="0"/>
      <w:marBottom w:val="0"/>
      <w:divBdr>
        <w:top w:val="none" w:sz="0" w:space="0" w:color="auto"/>
        <w:left w:val="none" w:sz="0" w:space="0" w:color="auto"/>
        <w:bottom w:val="none" w:sz="0" w:space="0" w:color="auto"/>
        <w:right w:val="none" w:sz="0" w:space="0" w:color="auto"/>
      </w:divBdr>
    </w:div>
    <w:div w:id="1253708545">
      <w:bodyDiv w:val="1"/>
      <w:marLeft w:val="0"/>
      <w:marRight w:val="0"/>
      <w:marTop w:val="0"/>
      <w:marBottom w:val="0"/>
      <w:divBdr>
        <w:top w:val="none" w:sz="0" w:space="0" w:color="auto"/>
        <w:left w:val="none" w:sz="0" w:space="0" w:color="auto"/>
        <w:bottom w:val="none" w:sz="0" w:space="0" w:color="auto"/>
        <w:right w:val="none" w:sz="0" w:space="0" w:color="auto"/>
      </w:divBdr>
    </w:div>
    <w:div w:id="1742215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avidsatriakelana@gmail.com"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Lenovo\Downloads\jkhs@unsoed.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s\Lenovo\Downloads\jos.unsoed.ac.id\index.php\jkhs\index"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q53W7cbyL1stLsq/A597YBaMStA==">AMUW2mXwGzZOtdFbhUYw/AjsshuGZ+sVG6KQVeI+jx6NzT3Q4ggeYSiXul23CkF4T0PjvyQ393ur9qikQAtQFYj2//YJG84btEzQdtS7Z6yUNtziOKIoHCtvYRrWJsiMRxRcStCrgRjSHLjCl8IjruGobqjUr5QwgRwn0Ls3+FyfpmLhZK4Lp08=</go:docsCustomData>
</go:gDocsCustomXmlDataStorage>
</file>

<file path=customXml/itemProps1.xml><?xml version="1.0" encoding="utf-8"?>
<ds:datastoreItem xmlns:ds="http://schemas.openxmlformats.org/officeDocument/2006/customXml" ds:itemID="{3535EB15-D0B4-4B0E-9C39-3C83204C84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3551</Words>
  <Characters>24756</Characters>
  <Application>Microsoft Office Word</Application>
  <DocSecurity>0</DocSecurity>
  <Lines>442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HALREV</dc:creator>
  <cp:lastModifiedBy>3676</cp:lastModifiedBy>
  <cp:revision>2</cp:revision>
  <dcterms:created xsi:type="dcterms:W3CDTF">2025-08-21T05:22:00Z</dcterms:created>
  <dcterms:modified xsi:type="dcterms:W3CDTF">2025-08-21T05:22:00Z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http://www.zotero.org/styles/mcgill-en</vt:lpwstr>
  </property>
  <property fmtid="{D5CDD505-2E9C-101B-9397-08002B2CF9AE}" pid="11" name="Mendeley Recent Style Name 4_1">
    <vt:lpwstr>Canadian Guide to Uniform Legal Citation 9th edition (McGill Guide)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http://www.zotero.org/styles/chicago-note-bibliography</vt:lpwstr>
  </property>
  <property fmtid="{D5CDD505-2E9C-101B-9397-08002B2CF9AE}" pid="15" name="Mendeley Recent Style Name 6_1">
    <vt:lpwstr>Chicago Manual of Style 17th edition (note)</vt:lpwstr>
  </property>
  <property fmtid="{D5CDD505-2E9C-101B-9397-08002B2CF9AE}" pid="16" name="Mendeley Recent Style Id 7_1">
    <vt:lpwstr>http://www.zotero.org/styles/modern-humanities-research-association-3rd-edition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http://www.zotero.org/styles/turabian-fullnote-bibliography-8th-edition</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222bbd1a-b580-3f59-88a2-2382dc18d398</vt:lpwstr>
  </property>
  <property fmtid="{D5CDD505-2E9C-101B-9397-08002B2CF9AE}" pid="24" name="Mendeley Citation Style_1">
    <vt:lpwstr>http://www.zotero.org/styles/modern-humanities-research-association-3rd-edition</vt:lpwstr>
  </property>
  <property fmtid="{D5CDD505-2E9C-101B-9397-08002B2CF9AE}" pid="25" name="GrammarlyDocumentId">
    <vt:lpwstr>cfcbd4d3-bed7-465e-8e82-d89ae44abd16</vt:lpwstr>
  </property>
</Properties>
</file>