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jc w:val="center"/>
        <w:rPr>
          <w:rFonts w:ascii="Times New Roman" w:hAnsi="Times New Roman" w:eastAsia="Times New Roman" w:cs="Times New Roman"/>
          <w:b/>
          <w:color w:val="auto"/>
          <w:sz w:val="24"/>
          <w:szCs w:val="24"/>
        </w:rPr>
      </w:pPr>
      <w:r>
        <w:rPr>
          <w:rFonts w:ascii="Times New Roman" w:hAnsi="Times New Roman" w:eastAsia="Times New Roman" w:cs="Times New Roman"/>
          <w:b/>
          <w:color w:val="auto"/>
          <w:sz w:val="24"/>
          <w:szCs w:val="24"/>
        </w:rPr>
        <w:t>PENGORGANISASIAN PEMAKAMAN DAN SKEMA</w:t>
      </w:r>
    </w:p>
    <w:p>
      <w:pPr>
        <w:pStyle w:val="2"/>
        <w:spacing w:before="0"/>
        <w:jc w:val="center"/>
        <w:rPr>
          <w:rFonts w:ascii="Times New Roman" w:hAnsi="Times New Roman" w:eastAsia="Times New Roman" w:cs="Times New Roman"/>
          <w:b/>
          <w:color w:val="auto"/>
          <w:sz w:val="24"/>
          <w:szCs w:val="24"/>
        </w:rPr>
      </w:pPr>
      <w:r>
        <w:rPr>
          <w:rFonts w:ascii="Times New Roman" w:hAnsi="Times New Roman" w:eastAsia="Times New Roman" w:cs="Times New Roman"/>
          <w:b/>
          <w:color w:val="auto"/>
          <w:sz w:val="24"/>
          <w:szCs w:val="24"/>
          <w:lang w:val="en-US"/>
        </w:rPr>
        <w:t>K</w:t>
      </w:r>
      <w:r>
        <w:rPr>
          <w:rFonts w:ascii="Times New Roman" w:hAnsi="Times New Roman" w:eastAsia="Times New Roman" w:cs="Times New Roman"/>
          <w:b/>
          <w:color w:val="auto"/>
          <w:sz w:val="24"/>
          <w:szCs w:val="24"/>
        </w:rPr>
        <w:t>ESEJAHTERAAN DALAM MASYARAKAT MUSLIM PERKOTAAN:</w:t>
      </w:r>
    </w:p>
    <w:p>
      <w:pPr>
        <w:pStyle w:val="2"/>
        <w:spacing w:before="0"/>
        <w:jc w:val="center"/>
        <w:rPr>
          <w:rFonts w:ascii="Times New Roman" w:hAnsi="Times New Roman" w:eastAsia="Times New Roman" w:cs="Times New Roman"/>
          <w:b/>
          <w:color w:val="auto"/>
          <w:sz w:val="24"/>
          <w:szCs w:val="24"/>
        </w:rPr>
      </w:pPr>
      <w:r>
        <w:rPr>
          <w:rFonts w:ascii="Times New Roman" w:hAnsi="Times New Roman" w:eastAsia="Times New Roman" w:cs="Times New Roman"/>
          <w:b/>
          <w:color w:val="auto"/>
          <w:sz w:val="24"/>
          <w:szCs w:val="24"/>
        </w:rPr>
        <w:t>STUDI KASUS DI KOTA YOGYAKARTA</w:t>
      </w:r>
    </w:p>
    <w:p>
      <w:pPr>
        <w:spacing w:after="0" w:line="240" w:lineRule="auto"/>
        <w:jc w:val="center"/>
        <w:rPr>
          <w:rFonts w:ascii="Times New Roman" w:hAnsi="Times New Roman" w:cs="Times New Roman"/>
          <w:sz w:val="24"/>
          <w:szCs w:val="24"/>
        </w:rPr>
      </w:pPr>
    </w:p>
    <w:p>
      <w:pPr>
        <w:pStyle w:val="2"/>
        <w:spacing w:before="0" w:line="240" w:lineRule="auto"/>
        <w:jc w:val="center"/>
        <w:rPr>
          <w:rFonts w:ascii="Times New Roman" w:hAnsi="Times New Roman" w:cs="Times New Roman"/>
          <w:b/>
          <w:color w:val="auto"/>
          <w:sz w:val="22"/>
          <w:szCs w:val="24"/>
        </w:rPr>
      </w:pPr>
      <w:r>
        <w:rPr>
          <w:rFonts w:ascii="Times New Roman" w:hAnsi="Times New Roman" w:cs="Times New Roman"/>
          <w:b/>
          <w:color w:val="auto"/>
          <w:sz w:val="22"/>
          <w:szCs w:val="24"/>
        </w:rPr>
        <w:t>Subhan Purno Aji</w:t>
      </w:r>
    </w:p>
    <w:p>
      <w:pPr>
        <w:pStyle w:val="2"/>
        <w:spacing w:before="0" w:line="240" w:lineRule="auto"/>
        <w:jc w:val="center"/>
        <w:rPr>
          <w:rFonts w:ascii="Times New Roman" w:hAnsi="Times New Roman" w:cs="Times New Roman"/>
          <w:color w:val="auto"/>
          <w:sz w:val="22"/>
          <w:szCs w:val="24"/>
        </w:rPr>
      </w:pPr>
      <w:r>
        <w:rPr>
          <w:rFonts w:ascii="Times New Roman" w:hAnsi="Times New Roman" w:cs="Times New Roman"/>
          <w:color w:val="auto"/>
          <w:sz w:val="22"/>
          <w:szCs w:val="24"/>
        </w:rPr>
        <w:t>Komisi Pemilihan Umum Kabupaten Banyumas</w:t>
      </w:r>
    </w:p>
    <w:p>
      <w:pPr>
        <w:pStyle w:val="2"/>
        <w:spacing w:before="0" w:line="240" w:lineRule="auto"/>
        <w:jc w:val="center"/>
        <w:rPr>
          <w:rFonts w:ascii="Times New Roman" w:hAnsi="Times New Roman" w:cs="Times New Roman"/>
          <w:color w:val="auto"/>
          <w:sz w:val="22"/>
          <w:szCs w:val="24"/>
        </w:rPr>
      </w:pPr>
      <w:r>
        <w:rPr>
          <w:rFonts w:ascii="Times New Roman" w:hAnsi="Times New Roman" w:cs="Times New Roman"/>
          <w:color w:val="auto"/>
          <w:sz w:val="22"/>
          <w:szCs w:val="24"/>
        </w:rPr>
        <w:t>subhanpa@gmail.com</w:t>
      </w:r>
    </w:p>
    <w:p>
      <w:pPr>
        <w:spacing w:after="0" w:line="240" w:lineRule="auto"/>
        <w:jc w:val="center"/>
        <w:rPr>
          <w:rFonts w:ascii="Times New Roman" w:hAnsi="Times New Roman" w:cs="Times New Roman"/>
          <w:b/>
          <w:sz w:val="24"/>
          <w:szCs w:val="24"/>
        </w:rPr>
      </w:pPr>
    </w:p>
    <w:p>
      <w:pPr>
        <w:jc w:val="center"/>
        <w:rPr>
          <w:rFonts w:hint="default" w:ascii="Times New Roman" w:hAnsi="Times New Roman" w:cs="Times New Roman"/>
          <w:b/>
          <w:bCs/>
        </w:rPr>
      </w:pPr>
      <w:r>
        <w:rPr>
          <w:rFonts w:hint="default" w:ascii="Times New Roman" w:hAnsi="Times New Roman" w:cs="Times New Roman"/>
          <w:b/>
          <w:bCs/>
        </w:rPr>
        <w:t>ABSTRAK</w:t>
      </w:r>
    </w:p>
    <w:p>
      <w:pPr>
        <w:pStyle w:val="2"/>
        <w:numPr>
          <w:ilvl w:val="0"/>
          <w:numId w:val="0"/>
        </w:numPr>
        <w:spacing w:before="0" w:after="120"/>
        <w:jc w:val="both"/>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rPr>
        <w:t>Tulisan</w:t>
      </w:r>
      <w:r>
        <w:rPr>
          <w:rFonts w:hint="default" w:ascii="Times New Roman" w:hAnsi="Times New Roman" w:cs="Times New Roman"/>
          <w:b w:val="0"/>
          <w:bCs/>
          <w:color w:val="auto"/>
          <w:sz w:val="24"/>
          <w:szCs w:val="24"/>
          <w:lang w:val="en-US"/>
        </w:rPr>
        <w:t xml:space="preserve"> ini </w:t>
      </w:r>
      <w:r>
        <w:rPr>
          <w:rFonts w:hint="default" w:ascii="Times New Roman" w:hAnsi="Times New Roman" w:cs="Times New Roman"/>
          <w:b w:val="0"/>
          <w:bCs/>
          <w:color w:val="auto"/>
          <w:sz w:val="24"/>
          <w:szCs w:val="24"/>
          <w:lang/>
        </w:rPr>
        <w:t>melihat</w:t>
      </w:r>
      <w:r>
        <w:rPr>
          <w:rFonts w:hint="default" w:ascii="Times New Roman" w:hAnsi="Times New Roman" w:cs="Times New Roman"/>
          <w:b w:val="0"/>
          <w:bCs/>
          <w:color w:val="auto"/>
          <w:sz w:val="24"/>
          <w:szCs w:val="24"/>
          <w:lang w:val="en-US"/>
        </w:rPr>
        <w:t xml:space="preserve"> organisasi pemakaman sebagai proksi kesejahteraan (pengaturan pemerintahan pasar-negara-masyarakat) dalam konteks masyarakat yang telah mengalami rasionalisasi, sekularisasi, pengobatan dan hilangnya "rasa" sebagai sebuah komunitas. Tulisan ini </w:t>
      </w:r>
      <w:r>
        <w:rPr>
          <w:rFonts w:hint="default" w:ascii="Times New Roman" w:hAnsi="Times New Roman" w:cs="Times New Roman"/>
          <w:b w:val="0"/>
          <w:bCs/>
          <w:color w:val="auto"/>
          <w:sz w:val="24"/>
          <w:szCs w:val="24"/>
          <w:lang/>
        </w:rPr>
        <w:t xml:space="preserve">dibatasi pada </w:t>
      </w:r>
      <w:r>
        <w:rPr>
          <w:rFonts w:hint="default" w:ascii="Times New Roman" w:hAnsi="Times New Roman" w:cs="Times New Roman"/>
          <w:b w:val="0"/>
          <w:bCs/>
          <w:color w:val="auto"/>
          <w:sz w:val="24"/>
          <w:szCs w:val="24"/>
          <w:lang w:val="en-US"/>
        </w:rPr>
        <w:t xml:space="preserve">penyelenggara pemakaman di komunitas Muslim di Kota Yogyakarta, Daerah Istimewa Provinsi Yogyakarta. </w:t>
      </w:r>
      <w:r>
        <w:rPr>
          <w:rFonts w:hint="default" w:ascii="Times New Roman" w:hAnsi="Times New Roman" w:cs="Times New Roman"/>
          <w:b w:val="0"/>
          <w:bCs/>
          <w:color w:val="auto"/>
          <w:sz w:val="24"/>
          <w:szCs w:val="24"/>
          <w:lang/>
        </w:rPr>
        <w:t>Tulisan</w:t>
      </w:r>
      <w:r>
        <w:rPr>
          <w:rFonts w:hint="default" w:ascii="Times New Roman" w:hAnsi="Times New Roman" w:cs="Times New Roman"/>
          <w:b w:val="0"/>
          <w:bCs/>
          <w:color w:val="auto"/>
          <w:sz w:val="24"/>
          <w:szCs w:val="24"/>
          <w:lang w:val="en-US"/>
        </w:rPr>
        <w:t xml:space="preserve"> ini menemukan bahwa ada variasi dalam organisasi pemakaman di masyarakat perkotaan oleh lembaga yang berbeda, yaitu oleh lembaga komersial, negara dan komunitas agama. Variasi tersebut menggambarkan variasi skema kesejahteraan dalam layanan fana dan / atau organisasi pemakaman di masyarakat perkotaan.</w:t>
      </w:r>
    </w:p>
    <w:p>
      <w:pPr>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Kata kunci: Organisasi Pemakaman, skema kesejahteraan, lembaga komersial, negara, komunitas agama</w:t>
      </w:r>
    </w:p>
    <w:p>
      <w:pPr>
        <w:spacing w:after="0" w:line="240" w:lineRule="auto"/>
        <w:contextualSpacing/>
        <w:jc w:val="center"/>
        <w:rPr>
          <w:rFonts w:ascii="Times New Roman" w:hAnsi="Times New Roman" w:cs="Times New Roman"/>
          <w:b/>
        </w:rPr>
      </w:pPr>
    </w:p>
    <w:p>
      <w:pPr>
        <w:spacing w:after="0" w:line="240" w:lineRule="auto"/>
        <w:contextualSpacing/>
        <w:jc w:val="center"/>
        <w:rPr>
          <w:rFonts w:ascii="Times New Roman" w:hAnsi="Times New Roman" w:cs="Times New Roman"/>
          <w:b/>
          <w:i/>
          <w:iCs/>
          <w:lang w:val="en-US"/>
        </w:rPr>
      </w:pPr>
      <w:bookmarkStart w:id="0" w:name="_GoBack"/>
      <w:r>
        <w:rPr>
          <w:rFonts w:ascii="Times New Roman" w:hAnsi="Times New Roman" w:cs="Times New Roman"/>
          <w:b/>
          <w:i/>
          <w:iCs/>
        </w:rPr>
        <w:t>ABSTRA</w:t>
      </w:r>
      <w:r>
        <w:rPr>
          <w:rFonts w:ascii="Times New Roman" w:hAnsi="Times New Roman" w:cs="Times New Roman"/>
          <w:b/>
          <w:i/>
          <w:iCs/>
          <w:lang w:val="en-US"/>
        </w:rPr>
        <w:t>CT</w:t>
      </w:r>
    </w:p>
    <w:p>
      <w:pPr>
        <w:pStyle w:val="2"/>
        <w:spacing w:before="0" w:line="240" w:lineRule="auto"/>
        <w:jc w:val="both"/>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This paper </w:t>
      </w:r>
      <w:r>
        <w:rPr>
          <w:rFonts w:ascii="Times New Roman" w:hAnsi="Times New Roman" w:cs="Times New Roman"/>
          <w:i/>
          <w:iCs/>
          <w:color w:val="auto"/>
          <w:sz w:val="24"/>
          <w:szCs w:val="24"/>
          <w:lang w:val="en-US"/>
        </w:rPr>
        <w:t>treats</w:t>
      </w:r>
      <w:r>
        <w:rPr>
          <w:rFonts w:ascii="Times New Roman" w:hAnsi="Times New Roman" w:cs="Times New Roman"/>
          <w:i/>
          <w:iCs/>
          <w:color w:val="auto"/>
          <w:sz w:val="24"/>
          <w:szCs w:val="24"/>
        </w:rPr>
        <w:t xml:space="preserve"> the funeral organization as a welfare proxy (governance arrangement of market-state-society) in the context of society that has undergone rationalization, secularization, medicalization and loss of "sense" as a community. This paper limits itself to funeral organizers in Muslim communities in Yogyakarta City, </w:t>
      </w:r>
      <w:r>
        <w:rPr>
          <w:rFonts w:ascii="Times New Roman" w:hAnsi="Times New Roman" w:cs="Times New Roman"/>
          <w:i/>
          <w:iCs/>
          <w:color w:val="auto"/>
          <w:sz w:val="24"/>
          <w:szCs w:val="24"/>
          <w:lang w:val="en-US"/>
        </w:rPr>
        <w:t>Special Region of Yogyakarta Province</w:t>
      </w:r>
      <w:r>
        <w:rPr>
          <w:rFonts w:ascii="Times New Roman" w:hAnsi="Times New Roman" w:cs="Times New Roman"/>
          <w:i/>
          <w:iCs/>
          <w:color w:val="auto"/>
          <w:sz w:val="24"/>
          <w:szCs w:val="24"/>
        </w:rPr>
        <w:t xml:space="preserve">. </w:t>
      </w:r>
      <w:r>
        <w:rPr>
          <w:rFonts w:ascii="Times New Roman" w:hAnsi="Times New Roman" w:cs="Times New Roman"/>
          <w:i/>
          <w:iCs/>
          <w:color w:val="auto"/>
          <w:sz w:val="24"/>
          <w:szCs w:val="24"/>
          <w:lang w:val="en-US"/>
        </w:rPr>
        <w:t xml:space="preserve">This </w:t>
      </w:r>
      <w:r>
        <w:rPr>
          <w:rFonts w:ascii="Times New Roman" w:hAnsi="Times New Roman" w:cs="Times New Roman"/>
          <w:i/>
          <w:iCs/>
          <w:color w:val="auto"/>
          <w:sz w:val="24"/>
          <w:szCs w:val="24"/>
        </w:rPr>
        <w:t>paper find</w:t>
      </w:r>
      <w:r>
        <w:rPr>
          <w:rFonts w:ascii="Times New Roman" w:hAnsi="Times New Roman" w:cs="Times New Roman"/>
          <w:i/>
          <w:iCs/>
          <w:color w:val="auto"/>
          <w:sz w:val="24"/>
          <w:szCs w:val="24"/>
          <w:lang w:val="en-US"/>
        </w:rPr>
        <w:t xml:space="preserve">s </w:t>
      </w:r>
      <w:r>
        <w:rPr>
          <w:rFonts w:ascii="Times New Roman" w:hAnsi="Times New Roman" w:cs="Times New Roman"/>
          <w:i/>
          <w:iCs/>
          <w:color w:val="auto"/>
          <w:sz w:val="24"/>
          <w:szCs w:val="24"/>
        </w:rPr>
        <w:t xml:space="preserve">that there is variation in the organization of funerals in urban communities by different institutions, ie by commercial institutions, </w:t>
      </w:r>
      <w:r>
        <w:rPr>
          <w:rFonts w:ascii="Times New Roman" w:hAnsi="Times New Roman" w:cs="Times New Roman"/>
          <w:i/>
          <w:iCs/>
          <w:color w:val="auto"/>
          <w:sz w:val="24"/>
          <w:szCs w:val="24"/>
          <w:lang w:val="en-US"/>
        </w:rPr>
        <w:t>state</w:t>
      </w:r>
      <w:r>
        <w:rPr>
          <w:rFonts w:ascii="Times New Roman" w:hAnsi="Times New Roman" w:cs="Times New Roman"/>
          <w:i/>
          <w:iCs/>
          <w:color w:val="auto"/>
          <w:sz w:val="24"/>
          <w:szCs w:val="24"/>
        </w:rPr>
        <w:t xml:space="preserve"> and religious communities. The variation illustrates the variation of welfare schemes in mortal services</w:t>
      </w:r>
      <w:r>
        <w:rPr>
          <w:rFonts w:ascii="Times New Roman" w:hAnsi="Times New Roman" w:cs="Times New Roman"/>
          <w:i/>
          <w:iCs/>
          <w:color w:val="auto"/>
          <w:sz w:val="24"/>
          <w:szCs w:val="24"/>
          <w:lang w:val="en-US"/>
        </w:rPr>
        <w:t xml:space="preserve"> and/or funeral organization</w:t>
      </w:r>
      <w:r>
        <w:rPr>
          <w:rFonts w:ascii="Times New Roman" w:hAnsi="Times New Roman" w:cs="Times New Roman"/>
          <w:i/>
          <w:iCs/>
          <w:color w:val="auto"/>
          <w:sz w:val="24"/>
          <w:szCs w:val="24"/>
        </w:rPr>
        <w:t xml:space="preserve"> in urban communities.</w:t>
      </w:r>
    </w:p>
    <w:bookmarkEnd w:id="0"/>
    <w:p>
      <w:pPr>
        <w:pStyle w:val="2"/>
        <w:spacing w:before="0" w:line="240" w:lineRule="auto"/>
        <w:jc w:val="both"/>
        <w:rPr>
          <w:rFonts w:ascii="Times New Roman" w:hAnsi="Times New Roman" w:cs="Times New Roman"/>
          <w:color w:val="auto"/>
          <w:sz w:val="22"/>
          <w:szCs w:val="24"/>
          <w:lang w:val="en-US"/>
        </w:rPr>
      </w:pPr>
    </w:p>
    <w:p>
      <w:pPr>
        <w:pStyle w:val="2"/>
        <w:spacing w:before="0" w:line="240" w:lineRule="auto"/>
        <w:jc w:val="both"/>
        <w:rPr>
          <w:rFonts w:ascii="Times New Roman" w:hAnsi="Times New Roman" w:cs="Times New Roman"/>
          <w:color w:val="auto"/>
          <w:sz w:val="22"/>
          <w:szCs w:val="24"/>
          <w:lang w:val="en-US"/>
        </w:rPr>
      </w:pPr>
      <w:r>
        <w:rPr>
          <w:rFonts w:ascii="Times New Roman" w:hAnsi="Times New Roman" w:cs="Times New Roman"/>
          <w:color w:val="auto"/>
          <w:sz w:val="22"/>
          <w:szCs w:val="24"/>
          <w:lang w:val="en-US"/>
        </w:rPr>
        <w:t>Keywords</w:t>
      </w:r>
      <w:r>
        <w:rPr>
          <w:rFonts w:ascii="Times New Roman" w:hAnsi="Times New Roman" w:cs="Times New Roman"/>
          <w:b/>
          <w:color w:val="auto"/>
          <w:sz w:val="22"/>
          <w:szCs w:val="24"/>
        </w:rPr>
        <w:t xml:space="preserve"> : </w:t>
      </w:r>
      <w:r>
        <w:rPr>
          <w:rFonts w:ascii="Times New Roman" w:hAnsi="Times New Roman" w:cs="Times New Roman"/>
          <w:i/>
          <w:color w:val="auto"/>
          <w:sz w:val="22"/>
          <w:szCs w:val="24"/>
          <w:lang w:val="en-US"/>
        </w:rPr>
        <w:t>Funeral organization</w:t>
      </w:r>
      <w:r>
        <w:rPr>
          <w:rFonts w:ascii="Times New Roman" w:hAnsi="Times New Roman" w:cs="Times New Roman"/>
          <w:i/>
          <w:color w:val="auto"/>
          <w:sz w:val="22"/>
          <w:szCs w:val="24"/>
        </w:rPr>
        <w:t xml:space="preserve">, </w:t>
      </w:r>
      <w:r>
        <w:rPr>
          <w:rFonts w:ascii="Times New Roman" w:hAnsi="Times New Roman" w:cs="Times New Roman"/>
          <w:i/>
          <w:color w:val="auto"/>
          <w:sz w:val="22"/>
          <w:szCs w:val="24"/>
          <w:lang w:val="en-US"/>
        </w:rPr>
        <w:t>welfare schemes</w:t>
      </w:r>
      <w:r>
        <w:rPr>
          <w:rFonts w:ascii="Times New Roman" w:hAnsi="Times New Roman" w:cs="Times New Roman"/>
          <w:i/>
          <w:color w:val="auto"/>
          <w:sz w:val="22"/>
          <w:szCs w:val="24"/>
        </w:rPr>
        <w:t xml:space="preserve">, </w:t>
      </w:r>
      <w:r>
        <w:rPr>
          <w:rFonts w:ascii="Times New Roman" w:hAnsi="Times New Roman" w:cs="Times New Roman"/>
          <w:i/>
          <w:color w:val="auto"/>
          <w:sz w:val="22"/>
          <w:szCs w:val="24"/>
          <w:lang w:val="en-US"/>
        </w:rPr>
        <w:t>commercial institutions</w:t>
      </w:r>
      <w:r>
        <w:rPr>
          <w:rFonts w:ascii="Times New Roman" w:hAnsi="Times New Roman" w:cs="Times New Roman"/>
          <w:i/>
          <w:color w:val="auto"/>
          <w:sz w:val="22"/>
          <w:szCs w:val="24"/>
        </w:rPr>
        <w:t xml:space="preserve">, </w:t>
      </w:r>
      <w:r>
        <w:rPr>
          <w:rFonts w:ascii="Times New Roman" w:hAnsi="Times New Roman" w:cs="Times New Roman"/>
          <w:i/>
          <w:color w:val="auto"/>
          <w:sz w:val="22"/>
          <w:szCs w:val="24"/>
          <w:lang w:val="en-US"/>
        </w:rPr>
        <w:t>state</w:t>
      </w:r>
      <w:r>
        <w:rPr>
          <w:rFonts w:ascii="Times New Roman" w:hAnsi="Times New Roman" w:cs="Times New Roman"/>
          <w:i/>
          <w:color w:val="auto"/>
          <w:sz w:val="22"/>
          <w:szCs w:val="24"/>
        </w:rPr>
        <w:t xml:space="preserve">, </w:t>
      </w:r>
      <w:r>
        <w:rPr>
          <w:rFonts w:ascii="Times New Roman" w:hAnsi="Times New Roman" w:cs="Times New Roman"/>
          <w:i/>
          <w:color w:val="auto"/>
          <w:sz w:val="22"/>
          <w:szCs w:val="24"/>
          <w:lang w:val="en-US"/>
        </w:rPr>
        <w:t>religious communities</w:t>
      </w:r>
    </w:p>
    <w:p>
      <w:pPr>
        <w:rPr>
          <w:lang w:val="en-US"/>
        </w:rPr>
      </w:pPr>
    </w:p>
    <w:p>
      <w:pPr>
        <w:pStyle w:val="2"/>
        <w:numPr>
          <w:ilvl w:val="0"/>
          <w:numId w:val="1"/>
        </w:numPr>
        <w:spacing w:before="0" w:after="120"/>
        <w:rPr>
          <w:rFonts w:ascii="Times New Roman" w:hAnsi="Times New Roman" w:cs="Times New Roman"/>
          <w:b/>
          <w:color w:val="auto"/>
          <w:sz w:val="24"/>
          <w:szCs w:val="24"/>
          <w:lang w:val="en-US"/>
        </w:rPr>
      </w:pPr>
      <w:r>
        <w:rPr>
          <w:rFonts w:ascii="Times New Roman" w:hAnsi="Times New Roman" w:cs="Times New Roman"/>
          <w:b/>
          <w:color w:val="auto"/>
          <w:sz w:val="24"/>
          <w:szCs w:val="24"/>
          <w:lang w:val="en-US"/>
        </w:rPr>
        <w:t>Latar Belakang</w:t>
      </w:r>
    </w:p>
    <w:p>
      <w:pPr>
        <w:spacing w:after="120" w:line="432"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 xml:space="preserve">Tulisan ini mengaitkan pengorganisasian pemakaman sebagai proksi kesejahteraan (pengaturan tata kelola pasar-negara-masyarakat) dalam konteks masyarakat yang telah mengalami proses rasionalisasi, sekulerisasi, medikalisasi dan hilangnya “rasa” sebagai komunitas. Tulisan ini membatasi diri dalam pengorganisasi pelayanan jenazah dalam masyarakat muslim di Kota Yogyakarta, Provinsi </w:t>
      </w:r>
      <w:r>
        <w:rPr>
          <w:rFonts w:ascii="Times New Roman" w:hAnsi="Times New Roman" w:eastAsia="Times New Roman" w:cs="Times New Roman"/>
          <w:sz w:val="24"/>
          <w:szCs w:val="24"/>
          <w:lang w:val="en-US"/>
        </w:rPr>
        <w:t>Daerah Istimewa Yogyakarta</w:t>
      </w:r>
      <w:r>
        <w:rPr>
          <w:rFonts w:ascii="Times New Roman" w:hAnsi="Times New Roman" w:eastAsia="Times New Roman" w:cs="Times New Roman"/>
          <w:sz w:val="24"/>
          <w:szCs w:val="24"/>
        </w:rPr>
        <w:t>.</w:t>
      </w:r>
    </w:p>
    <w:p>
      <w:pPr>
        <w:spacing w:after="0" w:line="432"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lang w:val="en-US"/>
        </w:rPr>
        <w:t xml:space="preserve">Pengorganisasian pemakaman </w:t>
      </w:r>
      <w:r>
        <w:rPr>
          <w:rFonts w:ascii="Times New Roman" w:hAnsi="Times New Roman" w:eastAsia="Times New Roman" w:cs="Times New Roman"/>
          <w:sz w:val="24"/>
          <w:szCs w:val="24"/>
        </w:rPr>
        <w:t xml:space="preserve">sebagai salah satu proksi kesejahteraan di dalam masyarakat perkotaan seringkali atau bahkan selalu diabaikan dalam studi tentang kebijakan pembangunan dan kesejahteraan sosial. </w:t>
      </w:r>
      <w:r>
        <w:rPr>
          <w:rFonts w:ascii="Times New Roman" w:hAnsi="Times New Roman" w:eastAsia="Times New Roman" w:cs="Times New Roman"/>
          <w:sz w:val="24"/>
          <w:szCs w:val="24"/>
          <w:lang w:val="en-US"/>
        </w:rPr>
        <w:t xml:space="preserve">Hal itu dapat </w:t>
      </w:r>
      <w:r>
        <w:rPr>
          <w:rFonts w:ascii="Times New Roman" w:hAnsi="Times New Roman" w:eastAsia="Times New Roman" w:cs="Times New Roman"/>
          <w:sz w:val="24"/>
          <w:szCs w:val="24"/>
        </w:rPr>
        <w:t xml:space="preserve">dilatar belakangi oleh wacana kesejahteraan yang dianggap tidak terkait sama sekali dengan isu seputar kematian. Memang selama ini, isu kesejahteraan </w:t>
      </w:r>
      <w:r>
        <w:rPr>
          <w:rFonts w:ascii="Times New Roman" w:hAnsi="Times New Roman" w:eastAsia="Times New Roman" w:cs="Times New Roman"/>
          <w:sz w:val="24"/>
          <w:szCs w:val="24"/>
          <w:lang w:val="en-US"/>
        </w:rPr>
        <w:t>hampir selalu</w:t>
      </w:r>
      <w:r>
        <w:rPr>
          <w:rFonts w:ascii="Times New Roman" w:hAnsi="Times New Roman" w:eastAsia="Times New Roman" w:cs="Times New Roman"/>
          <w:sz w:val="24"/>
          <w:szCs w:val="24"/>
        </w:rPr>
        <w:t xml:space="preserve"> dikaitkan dengan siklus kehidupan manusia, kelahiran-kehidupan-kematian, tetapi hanya berhenti pada dua yang pertama, sementara abai pada yang terakhir. Padahal kematian sebagai sebuah proses sangat berkaitan erat dengan konstruksi sosial-budaya masyarakat setempat. Sejauh mana keluarga dan komunitas dalam memberikan pelayanan kepada si jenazah mau tidak mau mengaitkannya dengan efek sosial-ekonomi. Dari pintu masuk ini dapat dengan mudah mengaitkan kematian dengan isu kesejahteraan.</w:t>
      </w:r>
    </w:p>
    <w:p>
      <w:pPr>
        <w:spacing w:after="0" w:line="432"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 lain pihak, dalam masyarakat </w:t>
      </w:r>
      <w:r>
        <w:rPr>
          <w:rFonts w:ascii="Times New Roman" w:hAnsi="Times New Roman" w:eastAsia="Times New Roman" w:cs="Times New Roman"/>
          <w:sz w:val="24"/>
          <w:szCs w:val="24"/>
          <w:lang w:val="en-US"/>
        </w:rPr>
        <w:t xml:space="preserve">Jawa </w:t>
      </w:r>
      <w:r>
        <w:rPr>
          <w:rFonts w:ascii="Times New Roman" w:hAnsi="Times New Roman" w:eastAsia="Times New Roman" w:cs="Times New Roman"/>
          <w:sz w:val="24"/>
          <w:szCs w:val="24"/>
        </w:rPr>
        <w:t>pelayanan jenazah merupakan kewajiban komunal.</w:t>
      </w:r>
      <w:r>
        <w:rPr>
          <w:rStyle w:val="10"/>
          <w:rFonts w:ascii="Times New Roman" w:hAnsi="Times New Roman" w:eastAsia="Times New Roman" w:cs="Times New Roman"/>
          <w:sz w:val="24"/>
          <w:szCs w:val="24"/>
        </w:rPr>
        <w:footnoteReference w:id="0"/>
      </w:r>
      <w:r>
        <w:rPr>
          <w:rFonts w:ascii="Times New Roman" w:hAnsi="Times New Roman" w:eastAsia="Times New Roman" w:cs="Times New Roman"/>
          <w:sz w:val="24"/>
          <w:szCs w:val="24"/>
        </w:rPr>
        <w:t xml:space="preserve"> Hal ini menambah peminggiran kematian terlepas dari isu seputar kesejahteraan. Persoalan-persoalan yang menyangkut bagaimana bentuk pengurusan jenazah dan akibat sosial-ekonomi bagi keluarganya cenderung tidak dihiraukan. Seolah-olah bahwa pengorganisasian pemakaman telah "</w:t>
      </w:r>
      <w:r>
        <w:rPr>
          <w:rFonts w:ascii="Times New Roman" w:hAnsi="Times New Roman" w:eastAsia="Times New Roman" w:cs="Times New Roman"/>
          <w:i/>
          <w:iCs/>
          <w:sz w:val="24"/>
          <w:szCs w:val="24"/>
        </w:rPr>
        <w:t>taken for granted</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en-US"/>
        </w:rPr>
        <w:t>. J</w:t>
      </w:r>
      <w:r>
        <w:rPr>
          <w:rFonts w:ascii="Times New Roman" w:hAnsi="Times New Roman" w:eastAsia="Times New Roman" w:cs="Times New Roman"/>
          <w:sz w:val="24"/>
          <w:szCs w:val="24"/>
        </w:rPr>
        <w:t>ka ada individu yang meninggal</w:t>
      </w:r>
      <w:r>
        <w:rPr>
          <w:rFonts w:ascii="Times New Roman" w:hAnsi="Times New Roman" w:eastAsia="Times New Roman" w:cs="Times New Roman"/>
          <w:sz w:val="24"/>
          <w:szCs w:val="24"/>
          <w:lang w:val="en-US"/>
        </w:rPr>
        <w:t xml:space="preserve"> dunia, maka</w:t>
      </w:r>
      <w:r>
        <w:rPr>
          <w:rFonts w:ascii="Times New Roman" w:hAnsi="Times New Roman" w:eastAsia="Times New Roman" w:cs="Times New Roman"/>
          <w:sz w:val="24"/>
          <w:szCs w:val="24"/>
        </w:rPr>
        <w:t xml:space="preserve"> sudah ”otomatis” ada yang mengurusnya entah keluarga, komunitas atau unit terkecil dari negara: pengurus RT, RW dan dusun. Dengan munculnya masyarakat yang semakin terdiferensiasi</w:t>
      </w:r>
      <w:r>
        <w:rPr>
          <w:rFonts w:ascii="Times New Roman" w:hAnsi="Times New Roman" w:eastAsia="Times New Roman" w:cs="Times New Roman"/>
          <w:sz w:val="24"/>
          <w:szCs w:val="24"/>
          <w:lang w:val="en-US"/>
        </w:rPr>
        <w:t xml:space="preserve"> dan terindividualisasi </w:t>
      </w:r>
      <w:r>
        <w:rPr>
          <w:rFonts w:ascii="Times New Roman" w:hAnsi="Times New Roman" w:eastAsia="Times New Roman" w:cs="Times New Roman"/>
          <w:sz w:val="24"/>
          <w:szCs w:val="24"/>
        </w:rPr>
        <w:t>hal tersebut tidak lagi relevan,</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misalnya di masyarakat perkotaan. Di sana</w:t>
      </w:r>
      <w:r>
        <w:rPr>
          <w:rFonts w:ascii="Times New Roman" w:hAnsi="Times New Roman" w:eastAsia="Times New Roman" w:cs="Times New Roman"/>
          <w:sz w:val="24"/>
          <w:szCs w:val="24"/>
          <w:lang w:val="en-US"/>
        </w:rPr>
        <w:t>, seperti yang terjadi dalam masyarakat Barat,</w:t>
      </w:r>
      <w:r>
        <w:rPr>
          <w:rFonts w:ascii="Times New Roman" w:hAnsi="Times New Roman" w:eastAsia="Times New Roman" w:cs="Times New Roman"/>
          <w:sz w:val="24"/>
          <w:szCs w:val="24"/>
        </w:rPr>
        <w:t xml:space="preserve"> kematian telah mengalami </w:t>
      </w:r>
      <w:r>
        <w:rPr>
          <w:rFonts w:ascii="Times New Roman" w:hAnsi="Times New Roman" w:eastAsia="Times New Roman" w:cs="Times New Roman"/>
          <w:sz w:val="24"/>
          <w:szCs w:val="24"/>
          <w:lang w:val="en-US"/>
        </w:rPr>
        <w:t xml:space="preserve">individualisasi, </w:t>
      </w:r>
      <w:r>
        <w:rPr>
          <w:rFonts w:ascii="Times New Roman" w:hAnsi="Times New Roman" w:eastAsia="Times New Roman" w:cs="Times New Roman"/>
          <w:sz w:val="24"/>
          <w:szCs w:val="24"/>
        </w:rPr>
        <w:t xml:space="preserve">rasionalisasi, sekulerisasi, </w:t>
      </w:r>
      <w:r>
        <w:rPr>
          <w:rFonts w:ascii="Times New Roman" w:hAnsi="Times New Roman" w:eastAsia="Times New Roman" w:cs="Times New Roman"/>
          <w:sz w:val="24"/>
          <w:szCs w:val="24"/>
          <w:lang w:val="en-US"/>
        </w:rPr>
        <w:t xml:space="preserve">dan </w:t>
      </w:r>
      <w:r>
        <w:rPr>
          <w:rFonts w:ascii="Times New Roman" w:hAnsi="Times New Roman" w:eastAsia="Times New Roman" w:cs="Times New Roman"/>
          <w:sz w:val="24"/>
          <w:szCs w:val="24"/>
        </w:rPr>
        <w:t>medikalisasi</w:t>
      </w:r>
      <w:r>
        <w:rPr>
          <w:rFonts w:ascii="Times New Roman" w:hAnsi="Times New Roman" w:eastAsia="Times New Roman" w:cs="Times New Roman"/>
          <w:sz w:val="24"/>
          <w:szCs w:val="24"/>
          <w:lang w:val="en-US"/>
        </w:rPr>
        <w:t>.</w:t>
      </w:r>
      <w:r>
        <w:rPr>
          <w:rStyle w:val="10"/>
          <w:rFonts w:ascii="Times New Roman" w:hAnsi="Times New Roman" w:eastAsia="Times New Roman" w:cs="Times New Roman"/>
          <w:sz w:val="24"/>
          <w:szCs w:val="24"/>
        </w:rPr>
        <w:footnoteReference w:id="1"/>
      </w:r>
      <w:r>
        <w:rPr>
          <w:rFonts w:ascii="Times New Roman" w:hAnsi="Times New Roman" w:eastAsia="Times New Roman" w:cs="Times New Roman"/>
          <w:sz w:val="24"/>
          <w:szCs w:val="24"/>
          <w:lang w:val="en-US"/>
        </w:rPr>
        <w:t xml:space="preserve"> Dengan begitu, “rasa” sebagai sebuah komunitas mulai pudar.</w:t>
      </w:r>
    </w:p>
    <w:p>
      <w:pPr>
        <w:pStyle w:val="6"/>
        <w:spacing w:line="432" w:lineRule="auto"/>
        <w:ind w:firstLine="56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Istilah pengorganisasian pemakaman merujuk pada pengurusan pemakaman dan segala yang menyertainya oleh mereka yang masih hidup, baik oleh keluarga, komunitas maupun oleh institusi lain. Kematian sebagai siklus hidup mengakibatkan prosesinya tidak hanya berhenti pada pemakaman (</w:t>
      </w:r>
      <w:r>
        <w:rPr>
          <w:rFonts w:ascii="Times New Roman" w:hAnsi="Times New Roman" w:eastAsia="Times New Roman" w:cs="Times New Roman"/>
          <w:i/>
          <w:iCs/>
          <w:sz w:val="24"/>
          <w:szCs w:val="24"/>
        </w:rPr>
        <w:t>funeral</w:t>
      </w:r>
      <w:r>
        <w:rPr>
          <w:rFonts w:ascii="Times New Roman" w:hAnsi="Times New Roman" w:eastAsia="Times New Roman" w:cs="Times New Roman"/>
          <w:sz w:val="24"/>
          <w:szCs w:val="24"/>
        </w:rPr>
        <w:t>), tetapi masih berangkaian dengan kegiatan lain pasca-pemakaman. Oleh karenanya, pengorganisasian ini mencakup proses pengurusan jenazah, dimuali dari peristiwa kematian si jenazah sampai dengan proses pasca-pemakaman. Adapun kesejahteraan pemakaman (</w:t>
      </w:r>
      <w:r>
        <w:rPr>
          <w:rFonts w:ascii="Times New Roman" w:hAnsi="Times New Roman" w:eastAsia="Times New Roman" w:cs="Times New Roman"/>
          <w:i/>
          <w:iCs/>
          <w:sz w:val="24"/>
          <w:szCs w:val="24"/>
        </w:rPr>
        <w:t>funeral welfare</w:t>
      </w:r>
      <w:r>
        <w:rPr>
          <w:rFonts w:ascii="Times New Roman" w:hAnsi="Times New Roman" w:eastAsia="Times New Roman" w:cs="Times New Roman"/>
          <w:sz w:val="24"/>
          <w:szCs w:val="24"/>
        </w:rPr>
        <w:t>) merujuk pada aspek-aspek sosial-ekonomi yang melibatkan pengaturan relasi pasar-negara-masyarakat dalam pelayanan jenazah</w:t>
      </w:r>
      <w:r>
        <w:rPr>
          <w:rFonts w:ascii="Times New Roman" w:hAnsi="Times New Roman" w:eastAsia="Times New Roman" w:cs="Times New Roman"/>
          <w:sz w:val="24"/>
          <w:szCs w:val="24"/>
          <w:lang w:val="en-US"/>
        </w:rPr>
        <w:t xml:space="preserve"> dan/atau pengorganisasian pemakaman.</w:t>
      </w:r>
    </w:p>
    <w:p>
      <w:pPr>
        <w:pStyle w:val="6"/>
        <w:spacing w:line="432" w:lineRule="auto"/>
        <w:ind w:firstLine="567"/>
        <w:jc w:val="both"/>
        <w:rPr>
          <w:rFonts w:ascii="Times New Roman" w:hAnsi="Times New Roman" w:eastAsia="Times New Roman" w:cs="Times New Roman"/>
          <w:sz w:val="24"/>
          <w:szCs w:val="24"/>
          <w:lang w:val="en-US"/>
        </w:rPr>
      </w:pPr>
    </w:p>
    <w:p>
      <w:pPr>
        <w:pStyle w:val="2"/>
        <w:numPr>
          <w:ilvl w:val="0"/>
          <w:numId w:val="1"/>
        </w:numPr>
        <w:spacing w:before="0" w:after="120" w:line="240" w:lineRule="auto"/>
        <w:ind w:left="0" w:leftChars="0" w:firstLine="0" w:firstLineChars="0"/>
        <w:rPr>
          <w:rFonts w:ascii="Times New Roman" w:hAnsi="Times New Roman" w:cs="Times New Roman"/>
          <w:b/>
          <w:color w:val="auto"/>
          <w:sz w:val="24"/>
          <w:szCs w:val="24"/>
        </w:rPr>
      </w:pPr>
      <w:r>
        <w:rPr>
          <w:rFonts w:ascii="Times New Roman" w:hAnsi="Times New Roman" w:cs="Times New Roman"/>
          <w:b/>
          <w:color w:val="auto"/>
          <w:sz w:val="24"/>
          <w:szCs w:val="24"/>
        </w:rPr>
        <w:t>METOD</w:t>
      </w:r>
      <w:r>
        <w:rPr>
          <w:rFonts w:ascii="Times New Roman" w:hAnsi="Times New Roman" w:cs="Times New Roman"/>
          <w:b/>
          <w:color w:val="auto"/>
          <w:sz w:val="24"/>
          <w:szCs w:val="24"/>
          <w:lang w:val="en-US"/>
        </w:rPr>
        <w:t xml:space="preserve">OLOGI </w:t>
      </w:r>
      <w:r>
        <w:rPr>
          <w:rFonts w:ascii="Times New Roman" w:hAnsi="Times New Roman" w:cs="Times New Roman"/>
          <w:b/>
          <w:color w:val="auto"/>
          <w:sz w:val="24"/>
          <w:szCs w:val="24"/>
        </w:rPr>
        <w:t>PENELITIAN</w:t>
      </w:r>
    </w:p>
    <w:p>
      <w:pPr>
        <w:pStyle w:val="6"/>
        <w:spacing w:after="120" w:line="432"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Argumen tulisan ini didapatkan dari studi dokumen dan pengamatan terhadap pengorganisasian pemakaman di Kota Yogyakarta selama periode November-Desember 2015. Dokumen diambil dari data Badan Pusat Statistik (BPS) Kota Yogyakarta tahun 2014, laporan akademik, pencarian data yang berkaitan dengan obyek studi di internet. Metode yang digunakan adalah studi kasus, untuk melihat unit analisis yang spesifik, unik dan terbatas pada setting waktu dan tempat tertentu. Kota Yogyakarta dipilih tidak hanya </w:t>
      </w:r>
      <w:r>
        <w:rPr>
          <w:rFonts w:ascii="Times New Roman" w:hAnsi="Times New Roman" w:cs="Times New Roman"/>
          <w:sz w:val="24"/>
          <w:szCs w:val="24"/>
          <w:lang w:val="en-US"/>
        </w:rPr>
        <w:t xml:space="preserve">karena </w:t>
      </w:r>
      <w:r>
        <w:rPr>
          <w:rFonts w:ascii="Times New Roman" w:hAnsi="Times New Roman" w:cs="Times New Roman"/>
          <w:sz w:val="24"/>
          <w:szCs w:val="24"/>
        </w:rPr>
        <w:t>memiliki budaya Jawa yang masih kental, tetapi</w:t>
      </w:r>
      <w:r>
        <w:rPr>
          <w:rFonts w:ascii="Times New Roman" w:hAnsi="Times New Roman" w:cs="Times New Roman"/>
          <w:sz w:val="24"/>
          <w:szCs w:val="24"/>
          <w:lang w:val="en-US"/>
        </w:rPr>
        <w:t xml:space="preserve"> juga,</w:t>
      </w:r>
      <w:r>
        <w:rPr>
          <w:rFonts w:ascii="Times New Roman" w:hAnsi="Times New Roman" w:cs="Times New Roman"/>
          <w:sz w:val="24"/>
          <w:szCs w:val="24"/>
        </w:rPr>
        <w:t xml:space="preserve"> yang lebih penting</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di kota </w:t>
      </w:r>
      <w:r>
        <w:rPr>
          <w:rFonts w:ascii="Times New Roman" w:hAnsi="Times New Roman" w:cs="Times New Roman"/>
          <w:sz w:val="24"/>
          <w:szCs w:val="24"/>
          <w:lang w:val="en-US"/>
        </w:rPr>
        <w:t xml:space="preserve">ini </w:t>
      </w:r>
      <w:r>
        <w:rPr>
          <w:rFonts w:ascii="Times New Roman" w:hAnsi="Times New Roman" w:cs="Times New Roman"/>
          <w:sz w:val="24"/>
          <w:szCs w:val="24"/>
        </w:rPr>
        <w:t xml:space="preserve">sedang terjadi urbanisasi yang pesat. </w:t>
      </w:r>
    </w:p>
    <w:p>
      <w:pPr>
        <w:pStyle w:val="2"/>
        <w:spacing w:before="0" w:after="120" w:line="240" w:lineRule="auto"/>
        <w:rPr>
          <w:rFonts w:ascii="Times New Roman" w:hAnsi="Times New Roman" w:cs="Times New Roman"/>
          <w:b/>
          <w:color w:val="auto"/>
          <w:sz w:val="24"/>
          <w:szCs w:val="24"/>
        </w:rPr>
      </w:pPr>
    </w:p>
    <w:p>
      <w:pPr>
        <w:pStyle w:val="2"/>
        <w:numPr>
          <w:ilvl w:val="0"/>
          <w:numId w:val="1"/>
        </w:numPr>
        <w:spacing w:before="0" w:after="120" w:line="240" w:lineRule="auto"/>
        <w:ind w:left="0" w:leftChars="0" w:firstLine="0" w:firstLineChars="0"/>
        <w:rPr>
          <w:rFonts w:ascii="Times New Roman" w:hAnsi="Times New Roman" w:cs="Times New Roman"/>
          <w:b/>
          <w:color w:val="auto"/>
          <w:sz w:val="24"/>
          <w:szCs w:val="24"/>
        </w:rPr>
      </w:pPr>
      <w:r>
        <w:rPr>
          <w:rFonts w:ascii="Times New Roman" w:hAnsi="Times New Roman" w:cs="Times New Roman"/>
          <w:b/>
          <w:color w:val="auto"/>
          <w:sz w:val="24"/>
          <w:szCs w:val="24"/>
        </w:rPr>
        <w:t xml:space="preserve">PERSPEKTIF TEORITIS: PENGORGANISASIAN PEMAKAMAN </w:t>
      </w:r>
      <w:r>
        <w:rPr>
          <w:rFonts w:ascii="Times New Roman" w:hAnsi="Times New Roman" w:cs="Times New Roman"/>
          <w:b/>
          <w:color w:val="auto"/>
          <w:sz w:val="24"/>
          <w:szCs w:val="24"/>
          <w:lang w:val="en-US"/>
        </w:rPr>
        <w:t>D</w:t>
      </w:r>
      <w:r>
        <w:rPr>
          <w:rFonts w:ascii="Times New Roman" w:hAnsi="Times New Roman" w:cs="Times New Roman"/>
          <w:b/>
          <w:color w:val="auto"/>
          <w:sz w:val="24"/>
          <w:szCs w:val="24"/>
        </w:rPr>
        <w:t>AN ISU KESEJAHTERAAN</w:t>
      </w:r>
    </w:p>
    <w:p>
      <w:pPr>
        <w:spacing w:after="0" w:line="432" w:lineRule="auto"/>
        <w:ind w:firstLine="567"/>
        <w:jc w:val="both"/>
        <w:rPr>
          <w:rFonts w:ascii="Times New Roman" w:hAnsi="Times New Roman" w:cs="Times New Roman"/>
          <w:sz w:val="24"/>
          <w:szCs w:val="24"/>
        </w:rPr>
      </w:pPr>
      <w:r>
        <w:rPr>
          <w:rFonts w:ascii="Times New Roman" w:hAnsi="Times New Roman" w:cs="Times New Roman"/>
          <w:sz w:val="24"/>
          <w:szCs w:val="24"/>
        </w:rPr>
        <w:t>Pengamatan Clifford Geertz</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tentang fenomena kematian dalam masyarakat Jawa justru melahirkan apa yang ia sebut sebagai “inti agama jawa”, yaitu </w:t>
      </w:r>
      <w:r>
        <w:rPr>
          <w:rFonts w:ascii="Times New Roman" w:hAnsi="Times New Roman" w:cs="Times New Roman"/>
          <w:i/>
          <w:sz w:val="24"/>
          <w:szCs w:val="24"/>
        </w:rPr>
        <w:t>slametan</w:t>
      </w:r>
      <w:r>
        <w:rPr>
          <w:rFonts w:ascii="Times New Roman" w:hAnsi="Times New Roman" w:cs="Times New Roman"/>
          <w:sz w:val="24"/>
          <w:szCs w:val="24"/>
        </w:rPr>
        <w:t>.</w:t>
      </w:r>
      <w:r>
        <w:rPr>
          <w:rStyle w:val="10"/>
          <w:rFonts w:ascii="Times New Roman" w:hAnsi="Times New Roman" w:cs="Times New Roman"/>
          <w:sz w:val="24"/>
          <w:szCs w:val="24"/>
        </w:rPr>
        <w:footnoteReference w:id="2"/>
      </w:r>
      <w:r>
        <w:rPr>
          <w:rFonts w:ascii="Times New Roman" w:hAnsi="Times New Roman" w:cs="Times New Roman"/>
          <w:sz w:val="24"/>
          <w:szCs w:val="24"/>
        </w:rPr>
        <w:t xml:space="preserve"> Alih-alih kematian dipahami sebagai “episode terakhir” dalam kehidupan manusia, tetapi bagi masyarakat Jawa hal itu lebih dipahami sebagai siklus kehidupan, </w:t>
      </w:r>
      <w:r>
        <w:rPr>
          <w:rFonts w:ascii="Times New Roman" w:hAnsi="Times New Roman" w:cs="Times New Roman"/>
          <w:i/>
          <w:sz w:val="24"/>
          <w:szCs w:val="24"/>
        </w:rPr>
        <w:t>rite of passage</w:t>
      </w:r>
      <w:r>
        <w:rPr>
          <w:rFonts w:ascii="Times New Roman" w:hAnsi="Times New Roman" w:cs="Times New Roman"/>
          <w:sz w:val="24"/>
          <w:szCs w:val="24"/>
        </w:rPr>
        <w:t xml:space="preserve">. Kematian dipahami sebagai peralihan dari alam dunia menuju alam kubur. Upacara kematian di Jawa jauh dari riuh dan cenderung tidak dilakukan secara terlalu demonstratif. Para tetangga dan sanak-famili memberikan nasihat kepada keluarga yang ditinggalkan dengen menekankan pada kepasrahan kepada Yang Kuasa. Di dalam </w:t>
      </w:r>
      <w:r>
        <w:rPr>
          <w:rFonts w:ascii="Times New Roman" w:hAnsi="Times New Roman" w:cs="Times New Roman"/>
          <w:i/>
          <w:sz w:val="24"/>
          <w:szCs w:val="24"/>
        </w:rPr>
        <w:t xml:space="preserve">slametan </w:t>
      </w:r>
      <w:r>
        <w:rPr>
          <w:rFonts w:ascii="Times New Roman" w:hAnsi="Times New Roman" w:cs="Times New Roman"/>
          <w:sz w:val="24"/>
          <w:szCs w:val="24"/>
        </w:rPr>
        <w:t>inilah salah satu yang membentuk solidaritas komunal masyarakat Jawa, sebagaimana pendapat Geertz</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abstract":"http://onlinelibrary.wiley.com/doi/10.1525/aa.1957.59.1.02a00040/full","author":[{"dropping-particle":"","family":"Geertz","given":"Clifford","non-dropping-particle":"","parse-names":false,"suffix":""}],"container-title":"American Anthropologist","id":"ITEM-1","issue":"1","issued":{"date-parts":[["1957"]]},"page":"32-54","title":"Ritual and Social Change: A Javanese Example","type":"article-journal","volume":"59"},"locator":"40","uris":["http://www.mendeley.com/documents/?uuid=09b24313-7791-4a0d-ad1c-beda2eba3182"]}],"mendeley":{"formattedCitation":"(Geertz 1957, 40)","plainTextFormattedCitation":"(Geertz 1957, 40)","previouslyFormattedCitation":"(Geertz 1957, 40)"},"properties":{"noteIndex":0},"schema":"https://github.com/citation-style-language/schema/raw/master/csl-citation.json"}</w:instrText>
      </w:r>
      <w:r>
        <w:rPr>
          <w:rFonts w:ascii="Times New Roman" w:hAnsi="Times New Roman" w:cs="Times New Roman"/>
          <w:sz w:val="24"/>
          <w:szCs w:val="24"/>
        </w:rPr>
        <w:fldChar w:fldCharType="end"/>
      </w:r>
      <w:r>
        <w:rPr>
          <w:rFonts w:ascii="Times New Roman" w:hAnsi="Times New Roman" w:cs="Times New Roman"/>
          <w:sz w:val="24"/>
          <w:szCs w:val="24"/>
        </w:rPr>
        <w:t>(Geertz 1957, 40)(Geertz 1957, 40):</w:t>
      </w:r>
    </w:p>
    <w:p>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For the mourner, the funeral and postfuneral ritual is said to produce a feeling of iklas, a kind of willed affetlessness, a detachted and static of “not caring”; for the neighborhood group is said to produce rukun, “communal harmony</w:t>
      </w:r>
      <w:r>
        <w:rPr>
          <w:rFonts w:ascii="Times New Roman" w:hAnsi="Times New Roman" w:cs="Times New Roman"/>
          <w:i/>
          <w:sz w:val="24"/>
          <w:szCs w:val="24"/>
          <w:lang w:val="en-US"/>
        </w:rPr>
        <w:t>.</w:t>
      </w:r>
      <w:r>
        <w:rPr>
          <w:rFonts w:ascii="Times New Roman" w:hAnsi="Times New Roman" w:cs="Times New Roman"/>
          <w:i/>
          <w:sz w:val="24"/>
          <w:szCs w:val="24"/>
        </w:rPr>
        <w:t>”</w:t>
      </w:r>
      <w:r>
        <w:rPr>
          <w:rStyle w:val="10"/>
          <w:rFonts w:ascii="Times New Roman" w:hAnsi="Times New Roman" w:cs="Times New Roman"/>
          <w:i/>
          <w:sz w:val="24"/>
          <w:szCs w:val="24"/>
        </w:rPr>
        <w:footnoteReference w:id="3"/>
      </w:r>
    </w:p>
    <w:p>
      <w:pPr>
        <w:spacing w:after="0" w:line="432" w:lineRule="auto"/>
        <w:ind w:firstLine="567"/>
        <w:jc w:val="both"/>
        <w:rPr>
          <w:rFonts w:ascii="Times New Roman" w:hAnsi="Times New Roman" w:cs="Times New Roman"/>
          <w:sz w:val="24"/>
          <w:szCs w:val="24"/>
        </w:rPr>
      </w:pPr>
    </w:p>
    <w:p>
      <w:pPr>
        <w:spacing w:after="0" w:line="432"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Inilah yang membentuk solidaritas di pedesaan Jawa. Tradisi Jawa dan ajaran Islam dalam peristiwa kematian nyaris tanpa masalah. Pranata kematian yang diikat oleh solidaritas komunal masih sangat mencolok, sehingga keluarga yang ditinggalkan juga tidak direpotkan dengan prosesi pengurusan jenazah. </w:t>
      </w:r>
      <w:r>
        <w:rPr>
          <w:rFonts w:ascii="Times New Roman" w:hAnsi="Times New Roman" w:cs="Times New Roman"/>
          <w:i/>
          <w:sz w:val="24"/>
          <w:szCs w:val="24"/>
        </w:rPr>
        <w:t>Modin</w:t>
      </w:r>
      <w:r>
        <w:rPr>
          <w:rFonts w:ascii="Times New Roman" w:hAnsi="Times New Roman" w:cs="Times New Roman"/>
          <w:sz w:val="24"/>
          <w:szCs w:val="24"/>
        </w:rPr>
        <w:t xml:space="preserve"> (orang yang dianggap memiliki pengetahuan dan keterampilan dalam memimpin upacara-upacara kematian) masih mudah untuk ditemukan. Lahan pemakaman juga tidak jadi soal, karena masih tersedianya lahan untuk pemakaman. </w:t>
      </w:r>
    </w:p>
    <w:p>
      <w:pPr>
        <w:spacing w:after="0" w:line="432"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Tetapi </w:t>
      </w:r>
      <w:r>
        <w:rPr>
          <w:rFonts w:ascii="Times New Roman" w:hAnsi="Times New Roman" w:cs="Times New Roman"/>
          <w:sz w:val="24"/>
          <w:szCs w:val="24"/>
          <w:lang w:val="en-US"/>
        </w:rPr>
        <w:t xml:space="preserve">menurut </w:t>
      </w:r>
      <w:r>
        <w:rPr>
          <w:rFonts w:ascii="Times New Roman" w:hAnsi="Times New Roman" w:cs="Times New Roman"/>
          <w:sz w:val="24"/>
          <w:szCs w:val="24"/>
        </w:rPr>
        <w:t>pengamatan Saiful Hakam</w:t>
      </w:r>
      <w:r>
        <w:rPr>
          <w:rFonts w:ascii="Times New Roman" w:hAnsi="Times New Roman" w:cs="Times New Roman"/>
          <w:sz w:val="24"/>
          <w:szCs w:val="24"/>
          <w:lang w:val="en-US"/>
        </w:rPr>
        <w:t xml:space="preserve"> </w:t>
      </w:r>
      <w:r>
        <w:rPr>
          <w:rFonts w:ascii="Times New Roman" w:hAnsi="Times New Roman" w:cs="Times New Roman"/>
          <w:sz w:val="24"/>
          <w:szCs w:val="24"/>
        </w:rPr>
        <w:t>di Yogyakarta mengkonfirmasi terjadinya perubahan sosial dan pergeseran makna kematian dalam masyarakat muslim perkotaan di Yogyakarta.</w:t>
      </w:r>
      <w:r>
        <w:rPr>
          <w:rStyle w:val="10"/>
          <w:rFonts w:ascii="Times New Roman" w:hAnsi="Times New Roman" w:cs="Times New Roman"/>
          <w:sz w:val="24"/>
          <w:szCs w:val="24"/>
        </w:rPr>
        <w:footnoteReference w:id="4"/>
      </w:r>
      <w:r>
        <w:rPr>
          <w:rFonts w:ascii="Times New Roman" w:hAnsi="Times New Roman" w:cs="Times New Roman"/>
          <w:sz w:val="24"/>
          <w:szCs w:val="24"/>
        </w:rPr>
        <w:t xml:space="preserve"> Yang mencolok adalah adanya komersialisasi pengorganisasian pemakaman. Hal itu terlihat dari munculnya Yayasan Bunga Selasih (YBS). </w:t>
      </w:r>
      <w:r>
        <w:rPr>
          <w:rFonts w:ascii="Times New Roman" w:hAnsi="Times New Roman" w:eastAsia="Times New Roman" w:cs="Times New Roman"/>
          <w:sz w:val="24"/>
          <w:szCs w:val="24"/>
        </w:rPr>
        <w:t>Yayasan ini menawarkan perawatan jenazah muslim secara profesional dengan tarif dan paket tertentu.</w:t>
      </w:r>
    </w:p>
    <w:p>
      <w:pPr>
        <w:spacing w:after="0" w:line="432" w:lineRule="auto"/>
        <w:ind w:firstLine="567"/>
        <w:jc w:val="both"/>
        <w:rPr>
          <w:rFonts w:ascii="Times New Roman" w:hAnsi="Times New Roman" w:cs="Times New Roman"/>
          <w:sz w:val="24"/>
          <w:szCs w:val="24"/>
        </w:rPr>
      </w:pPr>
      <w:r>
        <w:rPr>
          <w:rFonts w:ascii="Times New Roman" w:hAnsi="Times New Roman" w:eastAsia="Times New Roman" w:cs="Times New Roman"/>
          <w:sz w:val="24"/>
          <w:szCs w:val="24"/>
        </w:rPr>
        <w:t xml:space="preserve">Apa yang terjadi di Yogyakarta nampaknya juga ditemukan di dalam masyarakat yang telah mengalami industrialisasi dan urbanisasi. Tony Walter mengamati bahwa di dalam </w:t>
      </w:r>
      <w:r>
        <w:rPr>
          <w:rFonts w:ascii="Times New Roman" w:hAnsi="Times New Roman" w:cs="Times New Roman"/>
          <w:sz w:val="24"/>
          <w:szCs w:val="24"/>
        </w:rPr>
        <w:t>masyarakat barat yang telah mengalami industrialisasi, praktek pelayanan pemakaman bervariasi.</w:t>
      </w:r>
      <w:r>
        <w:rPr>
          <w:rStyle w:val="10"/>
          <w:rFonts w:ascii="Times New Roman" w:hAnsi="Times New Roman" w:cs="Times New Roman"/>
          <w:sz w:val="24"/>
          <w:szCs w:val="24"/>
        </w:rPr>
        <w:footnoteReference w:id="5"/>
      </w:r>
      <w:r>
        <w:rPr>
          <w:rFonts w:ascii="Times New Roman" w:hAnsi="Times New Roman" w:cs="Times New Roman"/>
          <w:sz w:val="24"/>
          <w:szCs w:val="24"/>
        </w:rPr>
        <w:t xml:space="preserve"> Di Amerika, pada umumnya mekanisme pasar lebih mendominasi. Bahkan di negara tersebut pemakaman telah menjadi bisnis. Sejak dekade 1970-an hampir semua rumah duka (</w:t>
      </w:r>
      <w:r>
        <w:rPr>
          <w:rFonts w:ascii="Times New Roman" w:hAnsi="Times New Roman" w:cs="Times New Roman"/>
          <w:i/>
          <w:sz w:val="24"/>
          <w:szCs w:val="24"/>
        </w:rPr>
        <w:t>funeral home</w:t>
      </w:r>
      <w:r>
        <w:rPr>
          <w:rFonts w:ascii="Times New Roman" w:hAnsi="Times New Roman" w:cs="Times New Roman"/>
          <w:sz w:val="24"/>
          <w:szCs w:val="24"/>
        </w:rPr>
        <w:t>) adalah milik individu dan korporasi sehingga negara dan asosiasi tidak ikut campur pada bidang ini. Sedangkan di negara-negara Eropa daratan (Perancis, Spanyol, Jerman), pemakaman lebih banyak difasilitasi oleh otoritas lokal (</w:t>
      </w:r>
      <w:r>
        <w:rPr>
          <w:rFonts w:ascii="Times New Roman" w:hAnsi="Times New Roman" w:cs="Times New Roman"/>
          <w:i/>
          <w:sz w:val="24"/>
          <w:szCs w:val="24"/>
        </w:rPr>
        <w:t>municipal</w:t>
      </w:r>
      <w:r>
        <w:rPr>
          <w:rFonts w:ascii="Times New Roman" w:hAnsi="Times New Roman" w:cs="Times New Roman"/>
          <w:sz w:val="24"/>
          <w:szCs w:val="24"/>
        </w:rPr>
        <w:t>). Di negara dimana pemakaman dilakukan oleh otoritas lokal, segera setelah terjadinya kematian keluarga akan melaporakan kepada pihak otoritas lokal untuk mendapatkan sertifikat kematian (</w:t>
      </w:r>
      <w:r>
        <w:rPr>
          <w:rFonts w:ascii="Times New Roman" w:hAnsi="Times New Roman" w:cs="Times New Roman"/>
          <w:i/>
          <w:sz w:val="24"/>
          <w:szCs w:val="24"/>
        </w:rPr>
        <w:t>death certificate</w:t>
      </w:r>
      <w:r>
        <w:rPr>
          <w:rFonts w:ascii="Times New Roman" w:hAnsi="Times New Roman" w:cs="Times New Roman"/>
          <w:sz w:val="24"/>
          <w:szCs w:val="24"/>
        </w:rPr>
        <w:t>/</w:t>
      </w:r>
      <w:r>
        <w:rPr>
          <w:rFonts w:ascii="Times New Roman" w:hAnsi="Times New Roman" w:cs="Times New Roman"/>
          <w:i/>
          <w:sz w:val="24"/>
          <w:szCs w:val="24"/>
        </w:rPr>
        <w:t>acte de décès</w:t>
      </w:r>
      <w:r>
        <w:rPr>
          <w:rFonts w:ascii="Times New Roman" w:hAnsi="Times New Roman" w:cs="Times New Roman"/>
          <w:sz w:val="24"/>
          <w:szCs w:val="24"/>
        </w:rPr>
        <w:t>), yang dengannya jenazah mendapatkan pelayanan yang diperlukan. Adapun di negara-negar Skandinavia, Swedia misalnya, peran geraja sangat besar dalam pelayanan jenazah. Bahkan, mereka sampai menyediakan tanah pemakaman secara gratis. Secara umum, meskipun di negara Skandinavia dapat disebut negara sekuler, tetapi untuk urusan kematian geraja masih memiliki otoritas yang besar</w:t>
      </w:r>
      <w:r>
        <w:rPr>
          <w:rFonts w:ascii="Times New Roman" w:hAnsi="Times New Roman" w:cs="Times New Roman"/>
          <w:sz w:val="24"/>
          <w:szCs w:val="24"/>
          <w:lang w:val="en-US"/>
        </w:rPr>
        <w:t>.</w:t>
      </w:r>
      <w:r>
        <w:rPr>
          <w:rStyle w:val="10"/>
          <w:rFonts w:ascii="Times New Roman" w:hAnsi="Times New Roman" w:cs="Times New Roman"/>
          <w:sz w:val="24"/>
          <w:szCs w:val="24"/>
        </w:rPr>
        <w:footnoteReference w:id="6"/>
      </w:r>
      <w:r>
        <w:rPr>
          <w:rFonts w:ascii="Times New Roman" w:hAnsi="Times New Roman" w:cs="Times New Roman"/>
          <w:sz w:val="24"/>
          <w:szCs w:val="24"/>
        </w:rPr>
        <w:t xml:space="preserve"> </w:t>
      </w:r>
    </w:p>
    <w:p>
      <w:pPr>
        <w:spacing w:after="0" w:line="432"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Seiring dengan tumbuhnya kota-kota besar di Jawa, permasalahan pelayanan jenazah mulai bermunculan. Masyarakat </w:t>
      </w:r>
      <w:r>
        <w:rPr>
          <w:rFonts w:ascii="Times New Roman" w:hAnsi="Times New Roman" w:cs="Times New Roman"/>
          <w:sz w:val="24"/>
          <w:szCs w:val="24"/>
          <w:lang w:val="en-US"/>
        </w:rPr>
        <w:t>J</w:t>
      </w:r>
      <w:r>
        <w:rPr>
          <w:rFonts w:ascii="Times New Roman" w:hAnsi="Times New Roman" w:cs="Times New Roman"/>
          <w:sz w:val="24"/>
          <w:szCs w:val="24"/>
        </w:rPr>
        <w:t>awa perkotaan seringkali gagap ketika ada anggota keluarga mereka meninggal. Manuel Castell menjelaskan bahwa perubahan perkotaan sebagai basis produksi niscaya menjadi arena akumulasi kapital. Didalamnya niscaya terdapat proses “konsumsi kolektif” bersifat komunal meluas menjadi konsumsi yang disediakan oleh pasar (</w:t>
      </w:r>
      <w:r>
        <w:rPr>
          <w:rFonts w:ascii="Times New Roman" w:hAnsi="Times New Roman" w:cs="Times New Roman"/>
          <w:i/>
          <w:sz w:val="24"/>
          <w:szCs w:val="24"/>
        </w:rPr>
        <w:t>ownership</w:t>
      </w:r>
      <w:r>
        <w:rPr>
          <w:rFonts w:ascii="Times New Roman" w:hAnsi="Times New Roman" w:cs="Times New Roman"/>
          <w:sz w:val="24"/>
          <w:szCs w:val="24"/>
        </w:rPr>
        <w:t>) atau konsumsi yang disediakan oleh negara (kolektifis).</w:t>
      </w:r>
      <w:r>
        <w:rPr>
          <w:rStyle w:val="10"/>
          <w:rFonts w:ascii="Times New Roman" w:hAnsi="Times New Roman" w:cs="Times New Roman"/>
          <w:sz w:val="24"/>
          <w:szCs w:val="24"/>
        </w:rPr>
        <w:footnoteReference w:id="7"/>
      </w:r>
      <w:r>
        <w:rPr>
          <w:rFonts w:ascii="Times New Roman" w:hAnsi="Times New Roman" w:cs="Times New Roman"/>
          <w:sz w:val="24"/>
          <w:szCs w:val="24"/>
        </w:rPr>
        <w:t xml:space="preserve"> Meluasnya model konsumsi yang yang disediakan oleh pasar membuat barang-barang publik terprivatisasi. </w:t>
      </w:r>
    </w:p>
    <w:p>
      <w:pPr>
        <w:pStyle w:val="14"/>
        <w:spacing w:after="0" w:line="432" w:lineRule="auto"/>
        <w:ind w:left="0" w:firstLine="567"/>
        <w:jc w:val="both"/>
        <w:rPr>
          <w:rFonts w:ascii="Times New Roman" w:hAnsi="Times New Roman" w:cs="Times New Roman"/>
          <w:sz w:val="24"/>
          <w:szCs w:val="24"/>
        </w:rPr>
      </w:pPr>
      <w:r>
        <w:rPr>
          <w:rFonts w:ascii="Times New Roman" w:hAnsi="Times New Roman" w:cs="Times New Roman"/>
          <w:sz w:val="24"/>
          <w:szCs w:val="24"/>
        </w:rPr>
        <w:t>Maka dalam konteks masyarakat kapitalis, terjadi perubahan yang signifikan dalam hal pengorganisasian pemakaman. Christine Valentine dan Kate Woodthrope mengintroduksi istilah kesejahteraan pemakaman (</w:t>
      </w:r>
      <w:r>
        <w:rPr>
          <w:rFonts w:ascii="Times New Roman" w:hAnsi="Times New Roman" w:cs="Times New Roman"/>
          <w:i/>
          <w:sz w:val="24"/>
          <w:szCs w:val="24"/>
        </w:rPr>
        <w:t>funeral welfare</w:t>
      </w:r>
      <w:r>
        <w:rPr>
          <w:rFonts w:ascii="Times New Roman" w:hAnsi="Times New Roman" w:cs="Times New Roman"/>
          <w:sz w:val="24"/>
          <w:szCs w:val="24"/>
        </w:rPr>
        <w:t>), untuk menegaskan bahwa pemakaman terkait dengan konsep penghasilan, budaya, politik dan tipe rezim kesejahteraan yang berlaku di negara-negara Eropa Barat.</w:t>
      </w:r>
      <w:r>
        <w:rPr>
          <w:rStyle w:val="10"/>
          <w:rFonts w:ascii="Times New Roman" w:hAnsi="Times New Roman" w:cs="Times New Roman"/>
          <w:sz w:val="24"/>
          <w:szCs w:val="24"/>
        </w:rPr>
        <w:footnoteReference w:id="8"/>
      </w:r>
      <w:r>
        <w:rPr>
          <w:rFonts w:ascii="Times New Roman" w:hAnsi="Times New Roman" w:cs="Times New Roman"/>
          <w:sz w:val="24"/>
          <w:szCs w:val="24"/>
        </w:rPr>
        <w:t xml:space="preserve"> Mereka menemukan bahwa ada tipe kesejahteraan pemakaman, tipe korporatis, tipe liberal dan tipe sosial demokrasi. </w:t>
      </w:r>
    </w:p>
    <w:p>
      <w:pPr>
        <w:spacing w:after="0" w:line="480" w:lineRule="auto"/>
        <w:jc w:val="center"/>
        <w:rPr>
          <w:rFonts w:ascii="Times New Roman" w:hAnsi="Times New Roman" w:cs="Times New Roman"/>
          <w:b w:val="0"/>
          <w:bCs/>
          <w:sz w:val="24"/>
          <w:szCs w:val="24"/>
        </w:rPr>
      </w:pPr>
      <w:r>
        <w:rPr>
          <w:rFonts w:ascii="Times New Roman" w:hAnsi="Times New Roman" w:cs="Times New Roman"/>
          <w:b w:val="0"/>
          <w:bCs/>
          <w:sz w:val="24"/>
          <w:szCs w:val="24"/>
        </w:rPr>
        <w:t>Tabel. Tipe Kesejahteraan Pemakaman</w:t>
      </w:r>
    </w:p>
    <w:tbl>
      <w:tblPr>
        <w:tblStyle w:val="13"/>
        <w:tblW w:w="791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3"/>
        <w:gridCol w:w="1417"/>
        <w:gridCol w:w="3793"/>
        <w:gridCol w:w="2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73" w:type="dxa"/>
            <w:tcBorders>
              <w:top w:val="single" w:color="auto" w:sz="4" w:space="0"/>
              <w:bottom w:val="single" w:color="auto" w:sz="4" w:space="0"/>
            </w:tcBorders>
          </w:tcPr>
          <w:p>
            <w:pPr>
              <w:pStyle w:val="14"/>
              <w:spacing w:after="60" w:line="312"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No.</w:t>
            </w:r>
          </w:p>
        </w:tc>
        <w:tc>
          <w:tcPr>
            <w:tcW w:w="1417" w:type="dxa"/>
            <w:tcBorders>
              <w:top w:val="single" w:color="auto" w:sz="4" w:space="0"/>
              <w:bottom w:val="single" w:color="auto" w:sz="4" w:space="0"/>
            </w:tcBorders>
          </w:tcPr>
          <w:p>
            <w:pPr>
              <w:pStyle w:val="14"/>
              <w:spacing w:after="60" w:line="312"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Tipe</w:t>
            </w:r>
          </w:p>
        </w:tc>
        <w:tc>
          <w:tcPr>
            <w:tcW w:w="3793" w:type="dxa"/>
            <w:tcBorders>
              <w:top w:val="single" w:color="auto" w:sz="4" w:space="0"/>
              <w:bottom w:val="single" w:color="auto" w:sz="4" w:space="0"/>
            </w:tcBorders>
          </w:tcPr>
          <w:p>
            <w:pPr>
              <w:pStyle w:val="14"/>
              <w:spacing w:after="60" w:line="312"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Karakteristik</w:t>
            </w:r>
          </w:p>
        </w:tc>
        <w:tc>
          <w:tcPr>
            <w:tcW w:w="2127" w:type="dxa"/>
            <w:tcBorders>
              <w:top w:val="single" w:color="auto" w:sz="4" w:space="0"/>
              <w:bottom w:val="single" w:color="auto" w:sz="4" w:space="0"/>
            </w:tcBorders>
          </w:tcPr>
          <w:p>
            <w:pPr>
              <w:pStyle w:val="14"/>
              <w:spacing w:after="60" w:line="312"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Negara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73" w:type="dxa"/>
            <w:tcBorders>
              <w:top w:val="single" w:color="auto" w:sz="4" w:space="0"/>
            </w:tcBorders>
          </w:tcPr>
          <w:p>
            <w:pPr>
              <w:pStyle w:val="14"/>
              <w:spacing w:after="60" w:line="312" w:lineRule="auto"/>
              <w:ind w:left="0"/>
              <w:contextualSpacing w:val="0"/>
              <w:jc w:val="both"/>
              <w:rPr>
                <w:rFonts w:ascii="Times New Roman" w:hAnsi="Times New Roman" w:cs="Times New Roman"/>
                <w:b w:val="0"/>
                <w:bCs/>
                <w:sz w:val="24"/>
                <w:szCs w:val="24"/>
              </w:rPr>
            </w:pPr>
            <w:r>
              <w:rPr>
                <w:rFonts w:ascii="Times New Roman" w:hAnsi="Times New Roman" w:cs="Times New Roman"/>
                <w:b w:val="0"/>
                <w:bCs/>
                <w:sz w:val="24"/>
                <w:szCs w:val="24"/>
              </w:rPr>
              <w:t>1.</w:t>
            </w:r>
          </w:p>
        </w:tc>
        <w:tc>
          <w:tcPr>
            <w:tcW w:w="1417" w:type="dxa"/>
            <w:tcBorders>
              <w:top w:val="single" w:color="auto" w:sz="4" w:space="0"/>
            </w:tcBorders>
          </w:tcPr>
          <w:p>
            <w:pPr>
              <w:pStyle w:val="14"/>
              <w:spacing w:after="60" w:line="312"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Liberal</w:t>
            </w:r>
          </w:p>
        </w:tc>
        <w:tc>
          <w:tcPr>
            <w:tcW w:w="3793" w:type="dxa"/>
            <w:tcBorders>
              <w:top w:val="single" w:color="auto" w:sz="4" w:space="0"/>
            </w:tcBorders>
          </w:tcPr>
          <w:p>
            <w:pPr>
              <w:pStyle w:val="14"/>
              <w:spacing w:after="60" w:line="312"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Penyedia jasa institusi komersil, ditanggung oleh individu, sedikit campur tangan negara/otoritas lokal</w:t>
            </w:r>
          </w:p>
        </w:tc>
        <w:tc>
          <w:tcPr>
            <w:tcW w:w="2127" w:type="dxa"/>
            <w:tcBorders>
              <w:top w:val="single" w:color="auto" w:sz="4" w:space="0"/>
            </w:tcBorders>
          </w:tcPr>
          <w:p>
            <w:pPr>
              <w:pStyle w:val="14"/>
              <w:spacing w:after="60" w:line="312"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Amerika Serikat, Australia, Inggris dan Kanada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73" w:type="dxa"/>
          </w:tcPr>
          <w:p>
            <w:pPr>
              <w:pStyle w:val="14"/>
              <w:spacing w:after="60" w:line="312" w:lineRule="auto"/>
              <w:ind w:left="0"/>
              <w:contextualSpacing w:val="0"/>
              <w:jc w:val="both"/>
              <w:rPr>
                <w:rFonts w:ascii="Times New Roman" w:hAnsi="Times New Roman" w:cs="Times New Roman"/>
                <w:b w:val="0"/>
                <w:bCs/>
                <w:sz w:val="24"/>
                <w:szCs w:val="24"/>
              </w:rPr>
            </w:pPr>
            <w:r>
              <w:rPr>
                <w:rFonts w:ascii="Times New Roman" w:hAnsi="Times New Roman" w:cs="Times New Roman"/>
                <w:b w:val="0"/>
                <w:bCs/>
                <w:sz w:val="24"/>
                <w:szCs w:val="24"/>
              </w:rPr>
              <w:t>2.</w:t>
            </w:r>
          </w:p>
        </w:tc>
        <w:tc>
          <w:tcPr>
            <w:tcW w:w="1417" w:type="dxa"/>
          </w:tcPr>
          <w:p>
            <w:pPr>
              <w:pStyle w:val="14"/>
              <w:spacing w:after="60" w:line="312"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Korporatis/Konservatif</w:t>
            </w:r>
          </w:p>
        </w:tc>
        <w:tc>
          <w:tcPr>
            <w:tcW w:w="3793" w:type="dxa"/>
          </w:tcPr>
          <w:p>
            <w:pPr>
              <w:pStyle w:val="14"/>
              <w:spacing w:after="60" w:line="312"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Peran komunitas cukup besar, otoritas lokal/negara memberikan sedikit subsidi</w:t>
            </w:r>
          </w:p>
        </w:tc>
        <w:tc>
          <w:tcPr>
            <w:tcW w:w="2127" w:type="dxa"/>
          </w:tcPr>
          <w:p>
            <w:pPr>
              <w:pStyle w:val="14"/>
              <w:spacing w:after="60" w:line="312"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Belgia, Perancis, Jerman, Spanyol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73" w:type="dxa"/>
            <w:tcBorders>
              <w:bottom w:val="single" w:color="auto" w:sz="4" w:space="0"/>
            </w:tcBorders>
          </w:tcPr>
          <w:p>
            <w:pPr>
              <w:pStyle w:val="14"/>
              <w:spacing w:after="60" w:line="312" w:lineRule="auto"/>
              <w:ind w:left="0"/>
              <w:contextualSpacing w:val="0"/>
              <w:jc w:val="both"/>
              <w:rPr>
                <w:rFonts w:ascii="Times New Roman" w:hAnsi="Times New Roman" w:cs="Times New Roman"/>
                <w:b w:val="0"/>
                <w:bCs/>
                <w:sz w:val="24"/>
                <w:szCs w:val="24"/>
              </w:rPr>
            </w:pPr>
            <w:r>
              <w:rPr>
                <w:rFonts w:ascii="Times New Roman" w:hAnsi="Times New Roman" w:cs="Times New Roman"/>
                <w:b w:val="0"/>
                <w:bCs/>
                <w:sz w:val="24"/>
                <w:szCs w:val="24"/>
              </w:rPr>
              <w:t>3.</w:t>
            </w:r>
          </w:p>
        </w:tc>
        <w:tc>
          <w:tcPr>
            <w:tcW w:w="1417" w:type="dxa"/>
            <w:tcBorders>
              <w:bottom w:val="single" w:color="auto" w:sz="4" w:space="0"/>
            </w:tcBorders>
          </w:tcPr>
          <w:p>
            <w:pPr>
              <w:pStyle w:val="14"/>
              <w:spacing w:after="60" w:line="312"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Sosial Demokrasi</w:t>
            </w:r>
          </w:p>
        </w:tc>
        <w:tc>
          <w:tcPr>
            <w:tcW w:w="3793" w:type="dxa"/>
            <w:tcBorders>
              <w:bottom w:val="single" w:color="auto" w:sz="4" w:space="0"/>
            </w:tcBorders>
          </w:tcPr>
          <w:p>
            <w:pPr>
              <w:pStyle w:val="14"/>
              <w:spacing w:after="60" w:line="312"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Penyediaan dana kematian dari subsidi negara</w:t>
            </w:r>
          </w:p>
        </w:tc>
        <w:tc>
          <w:tcPr>
            <w:tcW w:w="2127" w:type="dxa"/>
            <w:tcBorders>
              <w:bottom w:val="single" w:color="auto" w:sz="4" w:space="0"/>
            </w:tcBorders>
          </w:tcPr>
          <w:p>
            <w:pPr>
              <w:pStyle w:val="14"/>
              <w:spacing w:after="60" w:line="312"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Denmark, Belanda, Norwaigia, Swedia</w:t>
            </w:r>
          </w:p>
        </w:tc>
      </w:tr>
    </w:tbl>
    <w:p>
      <w:pPr>
        <w:pStyle w:val="14"/>
        <w:spacing w:after="0" w:line="240" w:lineRule="auto"/>
        <w:ind w:left="0"/>
        <w:jc w:val="both"/>
        <w:rPr>
          <w:rFonts w:ascii="Times New Roman" w:hAnsi="Times New Roman" w:cs="Times New Roman"/>
          <w:b w:val="0"/>
          <w:bCs/>
          <w:sz w:val="20"/>
          <w:szCs w:val="24"/>
          <w:lang w:val="en-US"/>
        </w:rPr>
      </w:pPr>
      <w:r>
        <w:rPr>
          <w:rFonts w:ascii="Times New Roman" w:hAnsi="Times New Roman" w:cs="Times New Roman"/>
          <w:b w:val="0"/>
          <w:bCs/>
          <w:sz w:val="20"/>
          <w:szCs w:val="24"/>
        </w:rPr>
        <w:t xml:space="preserve">Sumber: </w:t>
      </w:r>
      <w:r>
        <w:rPr>
          <w:rFonts w:ascii="Times New Roman" w:hAnsi="Times New Roman" w:cs="Times New Roman"/>
          <w:b w:val="0"/>
          <w:bCs/>
          <w:sz w:val="20"/>
          <w:szCs w:val="24"/>
          <w:lang w:val="en-US"/>
        </w:rPr>
        <w:t xml:space="preserve">Diolah dari </w:t>
      </w:r>
      <w:r>
        <w:rPr>
          <w:rFonts w:ascii="Times New Roman" w:hAnsi="Times New Roman" w:cs="Times New Roman"/>
          <w:b w:val="0"/>
          <w:bCs/>
          <w:sz w:val="20"/>
          <w:szCs w:val="24"/>
        </w:rPr>
        <w:t xml:space="preserve">Christine Valentine and Kate Woodthorpe, “From the Cradle to the Grave: Funeral Welfare from an International Perspective”, </w:t>
      </w:r>
      <w:r>
        <w:rPr>
          <w:rFonts w:ascii="Times New Roman" w:hAnsi="Times New Roman" w:cs="Times New Roman"/>
          <w:b w:val="0"/>
          <w:bCs/>
          <w:i/>
          <w:sz w:val="20"/>
          <w:szCs w:val="24"/>
        </w:rPr>
        <w:t xml:space="preserve">Social Policy and Administration </w:t>
      </w:r>
      <w:r>
        <w:rPr>
          <w:rFonts w:ascii="Times New Roman" w:hAnsi="Times New Roman" w:cs="Times New Roman"/>
          <w:b w:val="0"/>
          <w:bCs/>
          <w:sz w:val="20"/>
          <w:szCs w:val="24"/>
        </w:rPr>
        <w:t xml:space="preserve">48 no. 5 (2014), </w:t>
      </w:r>
      <w:r>
        <w:rPr>
          <w:rFonts w:ascii="Times New Roman" w:hAnsi="Times New Roman" w:cs="Times New Roman"/>
          <w:b w:val="0"/>
          <w:bCs/>
          <w:sz w:val="20"/>
          <w:szCs w:val="24"/>
          <w:lang w:val="en-US"/>
        </w:rPr>
        <w:t>529-530.</w:t>
      </w:r>
    </w:p>
    <w:p>
      <w:pPr>
        <w:pStyle w:val="2"/>
        <w:numPr>
          <w:numId w:val="0"/>
        </w:numPr>
        <w:spacing w:before="0" w:after="120" w:line="240" w:lineRule="auto"/>
        <w:ind w:leftChars="0"/>
        <w:rPr>
          <w:rFonts w:ascii="Times New Roman" w:hAnsi="Times New Roman" w:cs="Times New Roman"/>
          <w:b/>
          <w:color w:val="auto"/>
          <w:sz w:val="24"/>
          <w:szCs w:val="24"/>
        </w:rPr>
      </w:pPr>
    </w:p>
    <w:p>
      <w:pPr>
        <w:pStyle w:val="2"/>
        <w:numPr>
          <w:ilvl w:val="0"/>
          <w:numId w:val="1"/>
        </w:numPr>
        <w:spacing w:before="0" w:after="120" w:line="240" w:lineRule="auto"/>
        <w:ind w:left="0" w:leftChars="0" w:firstLine="0" w:firstLineChars="0"/>
        <w:rPr>
          <w:rFonts w:ascii="Times New Roman" w:hAnsi="Times New Roman" w:cs="Times New Roman"/>
          <w:b/>
          <w:color w:val="auto"/>
          <w:sz w:val="24"/>
          <w:szCs w:val="24"/>
        </w:rPr>
      </w:pPr>
      <w:r>
        <w:rPr>
          <w:rFonts w:ascii="Times New Roman" w:hAnsi="Times New Roman" w:cs="Times New Roman"/>
          <w:b/>
          <w:color w:val="auto"/>
          <w:sz w:val="24"/>
          <w:szCs w:val="24"/>
        </w:rPr>
        <w:t xml:space="preserve">VARIASI </w:t>
      </w:r>
      <w:r>
        <w:rPr>
          <w:rFonts w:ascii="Times New Roman" w:hAnsi="Times New Roman" w:cs="Times New Roman"/>
          <w:b/>
          <w:color w:val="auto"/>
          <w:sz w:val="24"/>
          <w:szCs w:val="24"/>
          <w:lang w:val="en-US"/>
        </w:rPr>
        <w:t>D</w:t>
      </w:r>
      <w:r>
        <w:rPr>
          <w:rFonts w:ascii="Times New Roman" w:hAnsi="Times New Roman" w:cs="Times New Roman"/>
          <w:b/>
          <w:color w:val="auto"/>
          <w:sz w:val="24"/>
          <w:szCs w:val="24"/>
        </w:rPr>
        <w:t xml:space="preserve">AN SKEMA KESEJAHTERAAN PELAYANAN JENAZAH </w:t>
      </w:r>
      <w:r>
        <w:rPr>
          <w:rFonts w:ascii="Times New Roman" w:hAnsi="Times New Roman" w:cs="Times New Roman"/>
          <w:b/>
          <w:color w:val="auto"/>
          <w:sz w:val="24"/>
          <w:szCs w:val="24"/>
          <w:lang w:val="en-US"/>
        </w:rPr>
        <w:t>D</w:t>
      </w:r>
      <w:r>
        <w:rPr>
          <w:rFonts w:ascii="Times New Roman" w:hAnsi="Times New Roman" w:cs="Times New Roman"/>
          <w:b/>
          <w:color w:val="auto"/>
          <w:sz w:val="24"/>
          <w:szCs w:val="24"/>
        </w:rPr>
        <w:t xml:space="preserve">I KOTA YOGYAKARTA: TEMUAN </w:t>
      </w:r>
      <w:r>
        <w:rPr>
          <w:rFonts w:ascii="Times New Roman" w:hAnsi="Times New Roman" w:cs="Times New Roman"/>
          <w:b/>
          <w:color w:val="auto"/>
          <w:sz w:val="24"/>
          <w:szCs w:val="24"/>
          <w:lang w:val="en-US"/>
        </w:rPr>
        <w:t>D</w:t>
      </w:r>
      <w:r>
        <w:rPr>
          <w:rFonts w:ascii="Times New Roman" w:hAnsi="Times New Roman" w:cs="Times New Roman"/>
          <w:b/>
          <w:color w:val="auto"/>
          <w:sz w:val="24"/>
          <w:szCs w:val="24"/>
        </w:rPr>
        <w:t>AN ANALISIS</w:t>
      </w:r>
    </w:p>
    <w:p>
      <w:pPr>
        <w:pStyle w:val="14"/>
        <w:spacing w:after="0" w:line="432"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Yogyakarta merupakan salah satu kota yang cukup pesat perkembangan penduduknya. Ia menandai perubahan dari masyarkat agraris yang berpusat di keraton, menjadi masyarakat urban dengan banyak pusat sosial-ekonomi baru. Banyaknya pendatang juga memunculkan anonimitas dalam kehidupan kota. Situasi ini menyebabkan solidaritas menipis. Pranata sosial yang menyangga kebutuhan komunal kehilangan relevansinya, digantikan oleh mereka yang menyediakan keahlian di bidang yang dibutuhkan. Tidak terkecuali merambah pada persoalan di sekitar perawatan jenazah. </w:t>
      </w:r>
    </w:p>
    <w:p>
      <w:pPr>
        <w:pStyle w:val="14"/>
        <w:spacing w:after="0" w:line="432"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 </w:t>
      </w:r>
      <w:r>
        <w:rPr>
          <w:rFonts w:ascii="Times New Roman" w:hAnsi="Times New Roman" w:eastAsia="Times New Roman" w:cs="Times New Roman"/>
          <w:sz w:val="24"/>
          <w:szCs w:val="24"/>
          <w:lang w:val="en-US"/>
        </w:rPr>
        <w:t>Provinsi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 xml:space="preserve">DI </w:t>
      </w:r>
      <w:r>
        <w:rPr>
          <w:rFonts w:ascii="Times New Roman" w:hAnsi="Times New Roman" w:eastAsia="Times New Roman" w:cs="Times New Roman"/>
          <w:sz w:val="24"/>
          <w:szCs w:val="24"/>
        </w:rPr>
        <w:t xml:space="preserve">Yogyakarta angka kematian kasar </w:t>
      </w:r>
      <w:r>
        <w:rPr>
          <w:rFonts w:ascii="Times New Roman" w:hAnsi="Times New Roman" w:eastAsia="Times New Roman" w:cs="Times New Roman"/>
          <w:sz w:val="24"/>
          <w:szCs w:val="24"/>
          <w:lang w:val="en-US"/>
        </w:rPr>
        <w:t xml:space="preserve">pada 2007 </w:t>
      </w:r>
      <w:r>
        <w:rPr>
          <w:rFonts w:ascii="Times New Roman" w:hAnsi="Times New Roman" w:eastAsia="Times New Roman" w:cs="Times New Roman"/>
          <w:sz w:val="24"/>
          <w:szCs w:val="24"/>
        </w:rPr>
        <w:t xml:space="preserve">mencapai </w:t>
      </w:r>
      <w:r>
        <w:rPr>
          <w:rFonts w:ascii="Times New Roman" w:hAnsi="Times New Roman" w:eastAsia="Times New Roman" w:cs="Times New Roman"/>
          <w:sz w:val="24"/>
          <w:szCs w:val="24"/>
          <w:lang w:val="en-US"/>
        </w:rPr>
        <w:t xml:space="preserve">8,4 </w:t>
      </w:r>
      <w:r>
        <w:rPr>
          <w:rFonts w:ascii="Times New Roman" w:hAnsi="Times New Roman" w:eastAsia="Times New Roman" w:cs="Times New Roman"/>
          <w:sz w:val="24"/>
          <w:szCs w:val="24"/>
        </w:rPr>
        <w:t>per 1.000 penduduk.</w:t>
      </w:r>
      <w:r>
        <w:rPr>
          <w:rStyle w:val="10"/>
          <w:rFonts w:ascii="Times New Roman" w:hAnsi="Times New Roman" w:eastAsia="Times New Roman" w:cs="Times New Roman"/>
          <w:sz w:val="24"/>
          <w:szCs w:val="24"/>
        </w:rPr>
        <w:footnoteReference w:id="9"/>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Sementara itu, di Kota Yogyakarta</w:t>
      </w:r>
      <w:r>
        <w:rPr>
          <w:rFonts w:ascii="Times New Roman" w:hAnsi="Times New Roman" w:eastAsia="Times New Roman" w:cs="Times New Roman"/>
          <w:sz w:val="24"/>
          <w:szCs w:val="24"/>
        </w:rPr>
        <w:t xml:space="preserve"> jumlah penduduk yang meninggal pada 2012 mencapai 2.320, kemudian naik menjadi 2.376 (2013) </w:t>
      </w:r>
      <w:r>
        <w:rPr>
          <w:rFonts w:ascii="Times New Roman" w:hAnsi="Times New Roman" w:eastAsia="Times New Roman" w:cs="Times New Roman"/>
          <w:sz w:val="24"/>
          <w:szCs w:val="24"/>
          <w:lang w:val="en-US"/>
        </w:rPr>
        <w:t xml:space="preserve">dan </w:t>
      </w:r>
      <w:r>
        <w:rPr>
          <w:rFonts w:ascii="Times New Roman" w:hAnsi="Times New Roman" w:eastAsia="Times New Roman" w:cs="Times New Roman"/>
          <w:sz w:val="24"/>
          <w:szCs w:val="24"/>
        </w:rPr>
        <w:t xml:space="preserve">pada 2014 angkanya turun menjadi 1.075 (tabel </w:t>
      </w:r>
      <w:r>
        <w:rPr>
          <w:rFonts w:ascii="Times New Roman" w:hAnsi="Times New Roman" w:eastAsia="Times New Roman" w:cs="Times New Roman"/>
          <w:sz w:val="24"/>
          <w:szCs w:val="24"/>
          <w:lang w:val="en-US"/>
        </w:rPr>
        <w:t>2</w:t>
      </w:r>
      <w:r>
        <w:rPr>
          <w:rFonts w:ascii="Times New Roman" w:hAnsi="Times New Roman" w:eastAsia="Times New Roman" w:cs="Times New Roman"/>
          <w:sz w:val="24"/>
          <w:szCs w:val="24"/>
        </w:rPr>
        <w:t>). Angka tersebut tentu masih berupa data kasar</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 mengingat tidak seluruh penduduk mau untuk mengurus akta kematian</w:t>
      </w:r>
      <w:r>
        <w:rPr>
          <w:rFonts w:ascii="Times New Roman" w:hAnsi="Times New Roman" w:eastAsia="Times New Roman" w:cs="Times New Roman"/>
          <w:sz w:val="24"/>
          <w:szCs w:val="24"/>
          <w:lang w:val="en-US"/>
        </w:rPr>
        <w:t>. Hal ini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 xml:space="preserve">disebabkan karena akta kematian </w:t>
      </w:r>
      <w:r>
        <w:rPr>
          <w:rFonts w:ascii="Times New Roman" w:hAnsi="Times New Roman" w:eastAsia="Times New Roman" w:cs="Times New Roman"/>
          <w:sz w:val="24"/>
          <w:szCs w:val="24"/>
        </w:rPr>
        <w:t>dianggap tidak terlalu berguna dan prosedur yang dinilai terlalu rumit.</w:t>
      </w:r>
      <w:r>
        <w:rPr>
          <w:rStyle w:val="10"/>
          <w:rFonts w:ascii="Times New Roman" w:hAnsi="Times New Roman" w:eastAsia="Times New Roman" w:cs="Times New Roman"/>
          <w:sz w:val="24"/>
          <w:szCs w:val="24"/>
        </w:rPr>
        <w:footnoteReference w:id="10"/>
      </w:r>
    </w:p>
    <w:p>
      <w:pPr>
        <w:pStyle w:val="14"/>
        <w:spacing w:after="0" w:line="432"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Selain itu, sebagai kota yang memiliki tingkat harapan hidup yang paling tinggi se-Indonesia, mencapai 73 tahun (laki-laki) dan 74 tahun (perempuan), </w:t>
      </w:r>
      <w:r>
        <w:rPr>
          <w:rFonts w:ascii="Times New Roman" w:hAnsi="Times New Roman" w:eastAsia="Times New Roman" w:cs="Times New Roman"/>
          <w:sz w:val="24"/>
          <w:szCs w:val="24"/>
          <w:lang w:val="en-US"/>
        </w:rPr>
        <w:t xml:space="preserve">Kota Yogyakarta </w:t>
      </w:r>
      <w:r>
        <w:rPr>
          <w:rFonts w:ascii="Times New Roman" w:hAnsi="Times New Roman" w:eastAsia="Times New Roman" w:cs="Times New Roman"/>
          <w:sz w:val="24"/>
          <w:szCs w:val="24"/>
        </w:rPr>
        <w:t>memiliki proporsi penduduk usia di atas 64 tahun yang relatif tinggi. Pada 2014, proporsi penduduk usia di atas 64 tahun mencapai 30.085 (7,37%).</w:t>
      </w:r>
      <w:r>
        <w:rPr>
          <w:rStyle w:val="10"/>
          <w:rFonts w:ascii="Times New Roman" w:hAnsi="Times New Roman" w:eastAsia="Times New Roman" w:cs="Times New Roman"/>
          <w:sz w:val="24"/>
          <w:szCs w:val="24"/>
        </w:rPr>
        <w:footnoteReference w:id="11"/>
      </w:r>
      <w:r>
        <w:rPr>
          <w:rFonts w:ascii="Times New Roman" w:hAnsi="Times New Roman" w:eastAsia="Times New Roman" w:cs="Times New Roman"/>
          <w:sz w:val="24"/>
          <w:szCs w:val="24"/>
        </w:rPr>
        <w:t xml:space="preserve"> Angka tersebut diprediksi akan semakin tinggi, mengingat saat ini penduduk Kota Yogyakarta didominasi oleh penduduk yang berusia 20-24 tahun. Artinya 30-40 tahun lagi akan terjadi ledakan penduduk usia tua, yang tentunya membawa munculnya permasalahan baru, termasuk persoalan yang berkaitan dengan isu-isu pelayanan jenazah.</w:t>
      </w:r>
    </w:p>
    <w:p>
      <w:pPr>
        <w:pStyle w:val="14"/>
        <w:spacing w:after="0" w:line="240" w:lineRule="auto"/>
        <w:ind w:left="-426"/>
        <w:rPr>
          <w:rFonts w:ascii="Times New Roman" w:hAnsi="Times New Roman" w:eastAsia="Times New Roman" w:cs="Times New Roman"/>
          <w:sz w:val="24"/>
          <w:szCs w:val="24"/>
        </w:rPr>
      </w:pPr>
    </w:p>
    <w:p>
      <w:pPr>
        <w:pStyle w:val="14"/>
        <w:spacing w:after="0" w:line="240" w:lineRule="auto"/>
        <w:ind w:left="-426"/>
        <w:jc w:val="center"/>
        <w:rPr>
          <w:rFonts w:ascii="Times New Roman" w:hAnsi="Times New Roman" w:eastAsia="Times New Roman" w:cs="Times New Roman"/>
          <w:b w:val="0"/>
          <w:bCs w:val="0"/>
          <w:sz w:val="24"/>
          <w:szCs w:val="24"/>
          <w:lang w:val="en-US"/>
        </w:rPr>
      </w:pPr>
      <w:r>
        <w:rPr>
          <w:rFonts w:ascii="Times New Roman" w:hAnsi="Times New Roman" w:eastAsia="Times New Roman" w:cs="Times New Roman"/>
          <w:b w:val="0"/>
          <w:bCs w:val="0"/>
          <w:sz w:val="24"/>
          <w:szCs w:val="24"/>
        </w:rPr>
        <w:t>Tabel 2. Banyaknya Kematian Penduduk Dirinci Menurut Jenis Kelamin dan Kecamatan</w:t>
      </w:r>
      <w:r>
        <w:rPr>
          <w:rFonts w:ascii="Times New Roman" w:hAnsi="Times New Roman" w:eastAsia="Times New Roman" w:cs="Times New Roman"/>
          <w:b w:val="0"/>
          <w:bCs w:val="0"/>
          <w:sz w:val="24"/>
          <w:szCs w:val="24"/>
          <w:lang w:val="en-US"/>
        </w:rPr>
        <w:t xml:space="preserve"> Tahun 2014</w:t>
      </w:r>
    </w:p>
    <w:tbl>
      <w:tblPr>
        <w:tblStyle w:val="12"/>
        <w:tblW w:w="9331" w:type="dxa"/>
        <w:tblInd w:w="-572" w:type="dxa"/>
        <w:tblLayout w:type="fixed"/>
        <w:tblCellMar>
          <w:top w:w="0" w:type="dxa"/>
          <w:left w:w="108" w:type="dxa"/>
          <w:bottom w:w="0" w:type="dxa"/>
          <w:right w:w="108" w:type="dxa"/>
        </w:tblCellMar>
      </w:tblPr>
      <w:tblGrid>
        <w:gridCol w:w="576"/>
        <w:gridCol w:w="2297"/>
        <w:gridCol w:w="756"/>
        <w:gridCol w:w="756"/>
        <w:gridCol w:w="756"/>
        <w:gridCol w:w="756"/>
        <w:gridCol w:w="756"/>
        <w:gridCol w:w="756"/>
        <w:gridCol w:w="576"/>
        <w:gridCol w:w="576"/>
        <w:gridCol w:w="770"/>
      </w:tblGrid>
      <w:tr>
        <w:tblPrEx>
          <w:tblLayout w:type="fixed"/>
          <w:tblCellMar>
            <w:top w:w="0" w:type="dxa"/>
            <w:left w:w="108" w:type="dxa"/>
            <w:bottom w:w="0" w:type="dxa"/>
            <w:right w:w="108" w:type="dxa"/>
          </w:tblCellMar>
        </w:tblPrEx>
        <w:trPr>
          <w:trHeight w:val="300" w:hRule="atLeast"/>
        </w:trPr>
        <w:tc>
          <w:tcPr>
            <w:tcW w:w="576" w:type="dxa"/>
            <w:vMerge w:val="restart"/>
            <w:tcBorders>
              <w:top w:val="single" w:color="auto" w:sz="4" w:space="0"/>
              <w:bottom w:val="single" w:color="auto" w:sz="4" w:space="0"/>
            </w:tcBorders>
            <w:shd w:val="clear" w:color="auto" w:fill="auto"/>
            <w:vAlign w:val="center"/>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No</w:t>
            </w:r>
          </w:p>
        </w:tc>
        <w:tc>
          <w:tcPr>
            <w:tcW w:w="2297" w:type="dxa"/>
            <w:vMerge w:val="restart"/>
            <w:tcBorders>
              <w:top w:val="single" w:color="auto" w:sz="4" w:space="0"/>
              <w:bottom w:val="single" w:color="auto" w:sz="4" w:space="0"/>
            </w:tcBorders>
            <w:shd w:val="clear" w:color="auto" w:fill="auto"/>
            <w:vAlign w:val="center"/>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Kecamatan</w:t>
            </w:r>
          </w:p>
        </w:tc>
        <w:tc>
          <w:tcPr>
            <w:tcW w:w="2268" w:type="dxa"/>
            <w:gridSpan w:val="3"/>
            <w:tcBorders>
              <w:top w:val="single" w:color="auto" w:sz="4" w:space="0"/>
              <w:bottom w:val="single" w:color="auto" w:sz="4" w:space="0"/>
            </w:tcBorders>
            <w:shd w:val="clear" w:color="auto" w:fill="auto"/>
            <w:vAlign w:val="center"/>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2012</w:t>
            </w:r>
          </w:p>
        </w:tc>
        <w:tc>
          <w:tcPr>
            <w:tcW w:w="2268" w:type="dxa"/>
            <w:gridSpan w:val="3"/>
            <w:tcBorders>
              <w:top w:val="single" w:color="auto" w:sz="4" w:space="0"/>
              <w:bottom w:val="single" w:color="auto" w:sz="4" w:space="0"/>
            </w:tcBorders>
            <w:shd w:val="clear" w:color="auto" w:fill="auto"/>
            <w:vAlign w:val="center"/>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2013</w:t>
            </w:r>
          </w:p>
        </w:tc>
        <w:tc>
          <w:tcPr>
            <w:tcW w:w="1922" w:type="dxa"/>
            <w:gridSpan w:val="3"/>
            <w:tcBorders>
              <w:top w:val="single" w:color="auto" w:sz="4" w:space="0"/>
              <w:bottom w:val="single" w:color="auto" w:sz="4" w:space="0"/>
            </w:tcBorders>
            <w:shd w:val="clear" w:color="auto" w:fill="auto"/>
            <w:vAlign w:val="center"/>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2014</w:t>
            </w:r>
          </w:p>
        </w:tc>
      </w:tr>
      <w:tr>
        <w:tblPrEx>
          <w:tblLayout w:type="fixed"/>
          <w:tblCellMar>
            <w:top w:w="0" w:type="dxa"/>
            <w:left w:w="108" w:type="dxa"/>
            <w:bottom w:w="0" w:type="dxa"/>
            <w:right w:w="108" w:type="dxa"/>
          </w:tblCellMar>
        </w:tblPrEx>
        <w:trPr>
          <w:trHeight w:val="300" w:hRule="atLeast"/>
        </w:trPr>
        <w:tc>
          <w:tcPr>
            <w:tcW w:w="576" w:type="dxa"/>
            <w:vMerge w:val="continue"/>
            <w:tcBorders>
              <w:top w:val="single" w:color="auto" w:sz="4" w:space="0"/>
              <w:bottom w:val="single" w:color="auto" w:sz="4" w:space="0"/>
            </w:tcBorders>
            <w:vAlign w:val="center"/>
          </w:tcPr>
          <w:p>
            <w:pPr>
              <w:spacing w:after="0" w:line="240" w:lineRule="auto"/>
              <w:rPr>
                <w:rFonts w:ascii="Times New Roman" w:hAnsi="Times New Roman" w:eastAsia="Times New Roman" w:cs="Times New Roman"/>
                <w:b w:val="0"/>
                <w:bCs w:val="0"/>
                <w:color w:val="000000"/>
                <w:szCs w:val="24"/>
                <w:lang w:eastAsia="id-ID"/>
              </w:rPr>
            </w:pPr>
          </w:p>
        </w:tc>
        <w:tc>
          <w:tcPr>
            <w:tcW w:w="2297" w:type="dxa"/>
            <w:vMerge w:val="continue"/>
            <w:tcBorders>
              <w:top w:val="single" w:color="auto" w:sz="4" w:space="0"/>
              <w:bottom w:val="single" w:color="auto" w:sz="4" w:space="0"/>
            </w:tcBorders>
            <w:vAlign w:val="center"/>
          </w:tcPr>
          <w:p>
            <w:pPr>
              <w:spacing w:after="0" w:line="240" w:lineRule="auto"/>
              <w:rPr>
                <w:rFonts w:ascii="Times New Roman" w:hAnsi="Times New Roman" w:eastAsia="Times New Roman" w:cs="Times New Roman"/>
                <w:b w:val="0"/>
                <w:bCs w:val="0"/>
                <w:color w:val="000000"/>
                <w:szCs w:val="24"/>
                <w:lang w:eastAsia="id-ID"/>
              </w:rPr>
            </w:pPr>
          </w:p>
        </w:tc>
        <w:tc>
          <w:tcPr>
            <w:tcW w:w="756" w:type="dxa"/>
            <w:tcBorders>
              <w:top w:val="single" w:color="auto" w:sz="4" w:space="0"/>
              <w:bottom w:val="single" w:color="auto" w:sz="4" w:space="0"/>
            </w:tcBorders>
            <w:shd w:val="clear" w:color="auto" w:fill="auto"/>
            <w:vAlign w:val="center"/>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Lk</w:t>
            </w:r>
          </w:p>
        </w:tc>
        <w:tc>
          <w:tcPr>
            <w:tcW w:w="756" w:type="dxa"/>
            <w:tcBorders>
              <w:top w:val="single" w:color="auto" w:sz="4" w:space="0"/>
              <w:bottom w:val="single" w:color="auto" w:sz="4" w:space="0"/>
            </w:tcBorders>
            <w:shd w:val="clear" w:color="auto" w:fill="auto"/>
            <w:vAlign w:val="center"/>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Pr</w:t>
            </w:r>
          </w:p>
        </w:tc>
        <w:tc>
          <w:tcPr>
            <w:tcW w:w="756" w:type="dxa"/>
            <w:tcBorders>
              <w:top w:val="single" w:color="auto" w:sz="4" w:space="0"/>
              <w:bottom w:val="single" w:color="auto" w:sz="4" w:space="0"/>
            </w:tcBorders>
            <w:shd w:val="clear" w:color="auto" w:fill="auto"/>
            <w:vAlign w:val="center"/>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Jml</w:t>
            </w:r>
          </w:p>
        </w:tc>
        <w:tc>
          <w:tcPr>
            <w:tcW w:w="756" w:type="dxa"/>
            <w:tcBorders>
              <w:top w:val="single" w:color="auto" w:sz="4" w:space="0"/>
              <w:bottom w:val="single" w:color="auto" w:sz="4" w:space="0"/>
            </w:tcBorders>
            <w:shd w:val="clear" w:color="auto" w:fill="auto"/>
            <w:vAlign w:val="center"/>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Lk</w:t>
            </w:r>
          </w:p>
        </w:tc>
        <w:tc>
          <w:tcPr>
            <w:tcW w:w="756" w:type="dxa"/>
            <w:tcBorders>
              <w:top w:val="single" w:color="auto" w:sz="4" w:space="0"/>
              <w:bottom w:val="single" w:color="auto" w:sz="4" w:space="0"/>
            </w:tcBorders>
            <w:shd w:val="clear" w:color="auto" w:fill="auto"/>
            <w:vAlign w:val="center"/>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Pr</w:t>
            </w:r>
          </w:p>
        </w:tc>
        <w:tc>
          <w:tcPr>
            <w:tcW w:w="756" w:type="dxa"/>
            <w:tcBorders>
              <w:top w:val="single" w:color="auto" w:sz="4" w:space="0"/>
              <w:bottom w:val="single" w:color="auto" w:sz="4" w:space="0"/>
            </w:tcBorders>
            <w:shd w:val="clear" w:color="auto" w:fill="auto"/>
            <w:vAlign w:val="center"/>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Jml</w:t>
            </w:r>
          </w:p>
        </w:tc>
        <w:tc>
          <w:tcPr>
            <w:tcW w:w="576" w:type="dxa"/>
            <w:tcBorders>
              <w:top w:val="single" w:color="auto" w:sz="4" w:space="0"/>
              <w:bottom w:val="single" w:color="auto" w:sz="4" w:space="0"/>
            </w:tcBorders>
            <w:shd w:val="clear" w:color="auto" w:fill="auto"/>
            <w:vAlign w:val="center"/>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Lk</w:t>
            </w:r>
          </w:p>
        </w:tc>
        <w:tc>
          <w:tcPr>
            <w:tcW w:w="576" w:type="dxa"/>
            <w:tcBorders>
              <w:top w:val="single" w:color="auto" w:sz="4" w:space="0"/>
              <w:bottom w:val="single" w:color="auto" w:sz="4" w:space="0"/>
            </w:tcBorders>
            <w:shd w:val="clear" w:color="auto" w:fill="auto"/>
            <w:vAlign w:val="center"/>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Pr</w:t>
            </w:r>
          </w:p>
        </w:tc>
        <w:tc>
          <w:tcPr>
            <w:tcW w:w="770" w:type="dxa"/>
            <w:tcBorders>
              <w:top w:val="single" w:color="auto" w:sz="4" w:space="0"/>
              <w:bottom w:val="single" w:color="auto" w:sz="4" w:space="0"/>
            </w:tcBorders>
            <w:shd w:val="clear" w:color="auto" w:fill="auto"/>
            <w:vAlign w:val="center"/>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Jml</w:t>
            </w:r>
          </w:p>
        </w:tc>
      </w:tr>
      <w:tr>
        <w:tblPrEx>
          <w:tblLayout w:type="fixed"/>
          <w:tblCellMar>
            <w:top w:w="0" w:type="dxa"/>
            <w:left w:w="108" w:type="dxa"/>
            <w:bottom w:w="0" w:type="dxa"/>
            <w:right w:w="108" w:type="dxa"/>
          </w:tblCellMar>
        </w:tblPrEx>
        <w:trPr>
          <w:trHeight w:val="300" w:hRule="atLeast"/>
        </w:trPr>
        <w:tc>
          <w:tcPr>
            <w:tcW w:w="576" w:type="dxa"/>
            <w:tcBorders>
              <w:top w:val="single" w:color="auto" w:sz="4" w:space="0"/>
            </w:tcBorders>
            <w:shd w:val="clear" w:color="auto" w:fill="auto"/>
            <w:vAlign w:val="bottom"/>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1</w:t>
            </w:r>
          </w:p>
        </w:tc>
        <w:tc>
          <w:tcPr>
            <w:tcW w:w="2297" w:type="dxa"/>
            <w:tcBorders>
              <w:top w:val="single" w:color="auto" w:sz="4" w:space="0"/>
            </w:tcBorders>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Danurejan</w:t>
            </w:r>
          </w:p>
        </w:tc>
        <w:tc>
          <w:tcPr>
            <w:tcW w:w="756" w:type="dxa"/>
            <w:tcBorders>
              <w:top w:val="single" w:color="auto" w:sz="4" w:space="0"/>
            </w:tcBorders>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66 </w:t>
            </w:r>
          </w:p>
        </w:tc>
        <w:tc>
          <w:tcPr>
            <w:tcW w:w="756" w:type="dxa"/>
            <w:tcBorders>
              <w:top w:val="single" w:color="auto" w:sz="4" w:space="0"/>
            </w:tcBorders>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59 </w:t>
            </w:r>
          </w:p>
        </w:tc>
        <w:tc>
          <w:tcPr>
            <w:tcW w:w="756" w:type="dxa"/>
            <w:tcBorders>
              <w:top w:val="single" w:color="auto" w:sz="4" w:space="0"/>
            </w:tcBorders>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125 </w:t>
            </w:r>
          </w:p>
        </w:tc>
        <w:tc>
          <w:tcPr>
            <w:tcW w:w="756" w:type="dxa"/>
            <w:tcBorders>
              <w:top w:val="single" w:color="auto" w:sz="4" w:space="0"/>
            </w:tcBorders>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48 </w:t>
            </w:r>
          </w:p>
        </w:tc>
        <w:tc>
          <w:tcPr>
            <w:tcW w:w="756" w:type="dxa"/>
            <w:tcBorders>
              <w:top w:val="single" w:color="auto" w:sz="4" w:space="0"/>
            </w:tcBorders>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52 </w:t>
            </w:r>
          </w:p>
        </w:tc>
        <w:tc>
          <w:tcPr>
            <w:tcW w:w="756" w:type="dxa"/>
            <w:tcBorders>
              <w:top w:val="single" w:color="auto" w:sz="4" w:space="0"/>
            </w:tcBorders>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100 </w:t>
            </w:r>
          </w:p>
        </w:tc>
        <w:tc>
          <w:tcPr>
            <w:tcW w:w="576" w:type="dxa"/>
            <w:tcBorders>
              <w:top w:val="single" w:color="auto" w:sz="4" w:space="0"/>
            </w:tcBorders>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51 </w:t>
            </w:r>
          </w:p>
        </w:tc>
        <w:tc>
          <w:tcPr>
            <w:tcW w:w="576" w:type="dxa"/>
            <w:tcBorders>
              <w:top w:val="single" w:color="auto" w:sz="4" w:space="0"/>
            </w:tcBorders>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39 </w:t>
            </w:r>
          </w:p>
        </w:tc>
        <w:tc>
          <w:tcPr>
            <w:tcW w:w="770" w:type="dxa"/>
            <w:tcBorders>
              <w:top w:val="single" w:color="auto" w:sz="4" w:space="0"/>
            </w:tcBorders>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90 </w:t>
            </w:r>
          </w:p>
        </w:tc>
      </w:tr>
      <w:tr>
        <w:tblPrEx>
          <w:tblLayout w:type="fixed"/>
          <w:tblCellMar>
            <w:top w:w="0" w:type="dxa"/>
            <w:left w:w="108" w:type="dxa"/>
            <w:bottom w:w="0" w:type="dxa"/>
            <w:right w:w="108" w:type="dxa"/>
          </w:tblCellMar>
        </w:tblPrEx>
        <w:trPr>
          <w:trHeight w:val="300" w:hRule="atLeast"/>
        </w:trPr>
        <w:tc>
          <w:tcPr>
            <w:tcW w:w="576" w:type="dxa"/>
            <w:shd w:val="clear" w:color="auto" w:fill="auto"/>
            <w:vAlign w:val="bottom"/>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2</w:t>
            </w:r>
          </w:p>
        </w:tc>
        <w:tc>
          <w:tcPr>
            <w:tcW w:w="2297"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Mergangsan</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99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90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189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90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115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205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16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39 </w:t>
            </w:r>
          </w:p>
        </w:tc>
        <w:tc>
          <w:tcPr>
            <w:tcW w:w="770"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55 </w:t>
            </w:r>
          </w:p>
        </w:tc>
      </w:tr>
      <w:tr>
        <w:tblPrEx>
          <w:tblLayout w:type="fixed"/>
          <w:tblCellMar>
            <w:top w:w="0" w:type="dxa"/>
            <w:left w:w="108" w:type="dxa"/>
            <w:bottom w:w="0" w:type="dxa"/>
            <w:right w:w="108" w:type="dxa"/>
          </w:tblCellMar>
        </w:tblPrEx>
        <w:trPr>
          <w:trHeight w:val="300" w:hRule="atLeast"/>
        </w:trPr>
        <w:tc>
          <w:tcPr>
            <w:tcW w:w="576" w:type="dxa"/>
            <w:shd w:val="clear" w:color="auto" w:fill="auto"/>
            <w:vAlign w:val="bottom"/>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3</w:t>
            </w:r>
          </w:p>
        </w:tc>
        <w:tc>
          <w:tcPr>
            <w:tcW w:w="2297"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Mantrijeron</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115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102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217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127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102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229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7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12 </w:t>
            </w:r>
          </w:p>
        </w:tc>
        <w:tc>
          <w:tcPr>
            <w:tcW w:w="770"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19 </w:t>
            </w:r>
          </w:p>
        </w:tc>
      </w:tr>
      <w:tr>
        <w:tblPrEx>
          <w:tblLayout w:type="fixed"/>
          <w:tblCellMar>
            <w:top w:w="0" w:type="dxa"/>
            <w:left w:w="108" w:type="dxa"/>
            <w:bottom w:w="0" w:type="dxa"/>
            <w:right w:w="108" w:type="dxa"/>
          </w:tblCellMar>
        </w:tblPrEx>
        <w:trPr>
          <w:trHeight w:val="300" w:hRule="atLeast"/>
        </w:trPr>
        <w:tc>
          <w:tcPr>
            <w:tcW w:w="576" w:type="dxa"/>
            <w:shd w:val="clear" w:color="auto" w:fill="auto"/>
            <w:vAlign w:val="bottom"/>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4</w:t>
            </w:r>
          </w:p>
        </w:tc>
        <w:tc>
          <w:tcPr>
            <w:tcW w:w="2297"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Gondokusuman</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115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138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253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137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125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262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128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183 </w:t>
            </w:r>
          </w:p>
        </w:tc>
        <w:tc>
          <w:tcPr>
            <w:tcW w:w="770"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311 </w:t>
            </w:r>
          </w:p>
        </w:tc>
      </w:tr>
      <w:tr>
        <w:tblPrEx>
          <w:tblLayout w:type="fixed"/>
          <w:tblCellMar>
            <w:top w:w="0" w:type="dxa"/>
            <w:left w:w="108" w:type="dxa"/>
            <w:bottom w:w="0" w:type="dxa"/>
            <w:right w:w="108" w:type="dxa"/>
          </w:tblCellMar>
        </w:tblPrEx>
        <w:trPr>
          <w:trHeight w:val="300" w:hRule="atLeast"/>
        </w:trPr>
        <w:tc>
          <w:tcPr>
            <w:tcW w:w="576" w:type="dxa"/>
            <w:shd w:val="clear" w:color="auto" w:fill="auto"/>
            <w:vAlign w:val="bottom"/>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5</w:t>
            </w:r>
          </w:p>
        </w:tc>
        <w:tc>
          <w:tcPr>
            <w:tcW w:w="2297"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Umbulharjo</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156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123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279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167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140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307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19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78 </w:t>
            </w:r>
          </w:p>
        </w:tc>
        <w:tc>
          <w:tcPr>
            <w:tcW w:w="770"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97 </w:t>
            </w:r>
          </w:p>
        </w:tc>
      </w:tr>
      <w:tr>
        <w:tblPrEx>
          <w:tblLayout w:type="fixed"/>
          <w:tblCellMar>
            <w:top w:w="0" w:type="dxa"/>
            <w:left w:w="108" w:type="dxa"/>
            <w:bottom w:w="0" w:type="dxa"/>
            <w:right w:w="108" w:type="dxa"/>
          </w:tblCellMar>
        </w:tblPrEx>
        <w:trPr>
          <w:trHeight w:val="300" w:hRule="atLeast"/>
        </w:trPr>
        <w:tc>
          <w:tcPr>
            <w:tcW w:w="576" w:type="dxa"/>
            <w:shd w:val="clear" w:color="auto" w:fill="auto"/>
            <w:vAlign w:val="bottom"/>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6</w:t>
            </w:r>
          </w:p>
        </w:tc>
        <w:tc>
          <w:tcPr>
            <w:tcW w:w="2297"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Kotagede</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81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62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143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85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86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171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10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34 </w:t>
            </w:r>
          </w:p>
        </w:tc>
        <w:tc>
          <w:tcPr>
            <w:tcW w:w="770"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44 </w:t>
            </w:r>
          </w:p>
        </w:tc>
      </w:tr>
      <w:tr>
        <w:tblPrEx>
          <w:tblLayout w:type="fixed"/>
          <w:tblCellMar>
            <w:top w:w="0" w:type="dxa"/>
            <w:left w:w="108" w:type="dxa"/>
            <w:bottom w:w="0" w:type="dxa"/>
            <w:right w:w="108" w:type="dxa"/>
          </w:tblCellMar>
        </w:tblPrEx>
        <w:trPr>
          <w:trHeight w:val="300" w:hRule="atLeast"/>
        </w:trPr>
        <w:tc>
          <w:tcPr>
            <w:tcW w:w="576" w:type="dxa"/>
            <w:shd w:val="clear" w:color="auto" w:fill="auto"/>
            <w:vAlign w:val="bottom"/>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7</w:t>
            </w:r>
          </w:p>
        </w:tc>
        <w:tc>
          <w:tcPr>
            <w:tcW w:w="2297"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Tegalrejo</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93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88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181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88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81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169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14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41 </w:t>
            </w:r>
          </w:p>
        </w:tc>
        <w:tc>
          <w:tcPr>
            <w:tcW w:w="770"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55 </w:t>
            </w:r>
          </w:p>
        </w:tc>
      </w:tr>
      <w:tr>
        <w:tblPrEx>
          <w:tblLayout w:type="fixed"/>
          <w:tblCellMar>
            <w:top w:w="0" w:type="dxa"/>
            <w:left w:w="108" w:type="dxa"/>
            <w:bottom w:w="0" w:type="dxa"/>
            <w:right w:w="108" w:type="dxa"/>
          </w:tblCellMar>
        </w:tblPrEx>
        <w:trPr>
          <w:trHeight w:val="300" w:hRule="atLeast"/>
        </w:trPr>
        <w:tc>
          <w:tcPr>
            <w:tcW w:w="576" w:type="dxa"/>
            <w:shd w:val="clear" w:color="auto" w:fill="auto"/>
            <w:vAlign w:val="bottom"/>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8</w:t>
            </w:r>
          </w:p>
        </w:tc>
        <w:tc>
          <w:tcPr>
            <w:tcW w:w="2297"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Kraton</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60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69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129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71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61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132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8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21 </w:t>
            </w:r>
          </w:p>
        </w:tc>
        <w:tc>
          <w:tcPr>
            <w:tcW w:w="770"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29 </w:t>
            </w:r>
          </w:p>
        </w:tc>
      </w:tr>
      <w:tr>
        <w:tblPrEx>
          <w:tblLayout w:type="fixed"/>
          <w:tblCellMar>
            <w:top w:w="0" w:type="dxa"/>
            <w:left w:w="108" w:type="dxa"/>
            <w:bottom w:w="0" w:type="dxa"/>
            <w:right w:w="108" w:type="dxa"/>
          </w:tblCellMar>
        </w:tblPrEx>
        <w:trPr>
          <w:trHeight w:val="300" w:hRule="atLeast"/>
        </w:trPr>
        <w:tc>
          <w:tcPr>
            <w:tcW w:w="576" w:type="dxa"/>
            <w:shd w:val="clear" w:color="auto" w:fill="auto"/>
            <w:vAlign w:val="bottom"/>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9</w:t>
            </w:r>
          </w:p>
        </w:tc>
        <w:tc>
          <w:tcPr>
            <w:tcW w:w="2297"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Gedongtengen</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72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58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130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88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76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164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93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54 </w:t>
            </w:r>
          </w:p>
        </w:tc>
        <w:tc>
          <w:tcPr>
            <w:tcW w:w="770"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147 </w:t>
            </w:r>
          </w:p>
        </w:tc>
      </w:tr>
      <w:tr>
        <w:tblPrEx>
          <w:tblLayout w:type="fixed"/>
          <w:tblCellMar>
            <w:top w:w="0" w:type="dxa"/>
            <w:left w:w="108" w:type="dxa"/>
            <w:bottom w:w="0" w:type="dxa"/>
            <w:right w:w="108" w:type="dxa"/>
          </w:tblCellMar>
        </w:tblPrEx>
        <w:trPr>
          <w:trHeight w:val="300" w:hRule="atLeast"/>
        </w:trPr>
        <w:tc>
          <w:tcPr>
            <w:tcW w:w="576" w:type="dxa"/>
            <w:shd w:val="clear" w:color="auto" w:fill="auto"/>
            <w:vAlign w:val="bottom"/>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10</w:t>
            </w:r>
          </w:p>
        </w:tc>
        <w:tc>
          <w:tcPr>
            <w:tcW w:w="2297"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Gondomanan</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58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59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117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50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56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106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45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68 </w:t>
            </w:r>
          </w:p>
        </w:tc>
        <w:tc>
          <w:tcPr>
            <w:tcW w:w="770"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113 </w:t>
            </w:r>
          </w:p>
        </w:tc>
      </w:tr>
      <w:tr>
        <w:tblPrEx>
          <w:tblLayout w:type="fixed"/>
          <w:tblCellMar>
            <w:top w:w="0" w:type="dxa"/>
            <w:left w:w="108" w:type="dxa"/>
            <w:bottom w:w="0" w:type="dxa"/>
            <w:right w:w="108" w:type="dxa"/>
          </w:tblCellMar>
        </w:tblPrEx>
        <w:trPr>
          <w:trHeight w:val="300" w:hRule="atLeast"/>
        </w:trPr>
        <w:tc>
          <w:tcPr>
            <w:tcW w:w="576" w:type="dxa"/>
            <w:shd w:val="clear" w:color="auto" w:fill="auto"/>
            <w:vAlign w:val="bottom"/>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11</w:t>
            </w:r>
          </w:p>
        </w:tc>
        <w:tc>
          <w:tcPr>
            <w:tcW w:w="2297"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Wirobrajan</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163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173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19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36 </w:t>
            </w:r>
          </w:p>
        </w:tc>
        <w:tc>
          <w:tcPr>
            <w:tcW w:w="770"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55 </w:t>
            </w:r>
          </w:p>
        </w:tc>
      </w:tr>
      <w:tr>
        <w:tblPrEx>
          <w:tblLayout w:type="fixed"/>
          <w:tblCellMar>
            <w:top w:w="0" w:type="dxa"/>
            <w:left w:w="108" w:type="dxa"/>
            <w:bottom w:w="0" w:type="dxa"/>
            <w:right w:w="108" w:type="dxa"/>
          </w:tblCellMar>
        </w:tblPrEx>
        <w:trPr>
          <w:trHeight w:val="300" w:hRule="atLeast"/>
        </w:trPr>
        <w:tc>
          <w:tcPr>
            <w:tcW w:w="576" w:type="dxa"/>
            <w:shd w:val="clear" w:color="auto" w:fill="auto"/>
            <w:vAlign w:val="bottom"/>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12</w:t>
            </w:r>
          </w:p>
        </w:tc>
        <w:tc>
          <w:tcPr>
            <w:tcW w:w="2297"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Jetis</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62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87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149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82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87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169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 </w:t>
            </w:r>
          </w:p>
        </w:tc>
        <w:tc>
          <w:tcPr>
            <w:tcW w:w="770"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18 </w:t>
            </w:r>
          </w:p>
        </w:tc>
      </w:tr>
      <w:tr>
        <w:tblPrEx>
          <w:tblLayout w:type="fixed"/>
          <w:tblCellMar>
            <w:top w:w="0" w:type="dxa"/>
            <w:left w:w="108" w:type="dxa"/>
            <w:bottom w:w="0" w:type="dxa"/>
            <w:right w:w="108" w:type="dxa"/>
          </w:tblCellMar>
        </w:tblPrEx>
        <w:trPr>
          <w:trHeight w:val="300" w:hRule="atLeast"/>
        </w:trPr>
        <w:tc>
          <w:tcPr>
            <w:tcW w:w="576" w:type="dxa"/>
            <w:shd w:val="clear" w:color="auto" w:fill="auto"/>
            <w:vAlign w:val="bottom"/>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13</w:t>
            </w:r>
          </w:p>
        </w:tc>
        <w:tc>
          <w:tcPr>
            <w:tcW w:w="2297"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Ngampilan</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72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78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150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63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58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121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10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19 </w:t>
            </w:r>
          </w:p>
        </w:tc>
        <w:tc>
          <w:tcPr>
            <w:tcW w:w="770"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29 </w:t>
            </w:r>
          </w:p>
        </w:tc>
      </w:tr>
      <w:tr>
        <w:tblPrEx>
          <w:tblLayout w:type="fixed"/>
          <w:tblCellMar>
            <w:top w:w="0" w:type="dxa"/>
            <w:left w:w="108" w:type="dxa"/>
            <w:bottom w:w="0" w:type="dxa"/>
            <w:right w:w="108" w:type="dxa"/>
          </w:tblCellMar>
        </w:tblPrEx>
        <w:trPr>
          <w:trHeight w:val="300" w:hRule="atLeast"/>
        </w:trPr>
        <w:tc>
          <w:tcPr>
            <w:tcW w:w="576" w:type="dxa"/>
            <w:shd w:val="clear" w:color="auto" w:fill="auto"/>
            <w:vAlign w:val="bottom"/>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14</w:t>
            </w:r>
          </w:p>
        </w:tc>
        <w:tc>
          <w:tcPr>
            <w:tcW w:w="2297"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Pakualaman</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47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48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95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35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33 </w:t>
            </w:r>
          </w:p>
        </w:tc>
        <w:tc>
          <w:tcPr>
            <w:tcW w:w="75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68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4 </w:t>
            </w:r>
          </w:p>
        </w:tc>
        <w:tc>
          <w:tcPr>
            <w:tcW w:w="576"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9 </w:t>
            </w:r>
          </w:p>
        </w:tc>
        <w:tc>
          <w:tcPr>
            <w:tcW w:w="770" w:type="dxa"/>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13 </w:t>
            </w:r>
          </w:p>
        </w:tc>
      </w:tr>
      <w:tr>
        <w:tblPrEx>
          <w:tblLayout w:type="fixed"/>
          <w:tblCellMar>
            <w:top w:w="0" w:type="dxa"/>
            <w:left w:w="108" w:type="dxa"/>
            <w:bottom w:w="0" w:type="dxa"/>
            <w:right w:w="108" w:type="dxa"/>
          </w:tblCellMar>
        </w:tblPrEx>
        <w:trPr>
          <w:trHeight w:val="300" w:hRule="atLeast"/>
        </w:trPr>
        <w:tc>
          <w:tcPr>
            <w:tcW w:w="2873" w:type="dxa"/>
            <w:gridSpan w:val="2"/>
            <w:tcBorders>
              <w:bottom w:val="single" w:color="auto" w:sz="4" w:space="0"/>
            </w:tcBorders>
            <w:shd w:val="clear" w:color="auto" w:fill="auto"/>
            <w:vAlign w:val="bottom"/>
          </w:tcPr>
          <w:p>
            <w:pPr>
              <w:spacing w:after="0" w:line="240" w:lineRule="auto"/>
              <w:jc w:val="center"/>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JUMLAH</w:t>
            </w:r>
          </w:p>
        </w:tc>
        <w:tc>
          <w:tcPr>
            <w:tcW w:w="756"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1.096 </w:t>
            </w:r>
          </w:p>
        </w:tc>
        <w:tc>
          <w:tcPr>
            <w:tcW w:w="756"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1.061 </w:t>
            </w:r>
          </w:p>
        </w:tc>
        <w:tc>
          <w:tcPr>
            <w:tcW w:w="756"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2.320 </w:t>
            </w:r>
          </w:p>
        </w:tc>
        <w:tc>
          <w:tcPr>
            <w:tcW w:w="756"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1.131 </w:t>
            </w:r>
          </w:p>
        </w:tc>
        <w:tc>
          <w:tcPr>
            <w:tcW w:w="756"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1.072 </w:t>
            </w:r>
          </w:p>
        </w:tc>
        <w:tc>
          <w:tcPr>
            <w:tcW w:w="756"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2.376 </w:t>
            </w:r>
          </w:p>
        </w:tc>
        <w:tc>
          <w:tcPr>
            <w:tcW w:w="576"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424 </w:t>
            </w:r>
          </w:p>
        </w:tc>
        <w:tc>
          <w:tcPr>
            <w:tcW w:w="576"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633 </w:t>
            </w:r>
          </w:p>
        </w:tc>
        <w:tc>
          <w:tcPr>
            <w:tcW w:w="770"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b w:val="0"/>
                <w:bCs w:val="0"/>
                <w:color w:val="000000"/>
                <w:szCs w:val="24"/>
                <w:lang w:eastAsia="id-ID"/>
              </w:rPr>
            </w:pPr>
            <w:r>
              <w:rPr>
                <w:rFonts w:ascii="Times New Roman" w:hAnsi="Times New Roman" w:eastAsia="Times New Roman" w:cs="Times New Roman"/>
                <w:b w:val="0"/>
                <w:bCs w:val="0"/>
                <w:color w:val="000000"/>
                <w:szCs w:val="24"/>
                <w:lang w:eastAsia="id-ID"/>
              </w:rPr>
              <w:t xml:space="preserve">   1.075 </w:t>
            </w:r>
          </w:p>
        </w:tc>
      </w:tr>
    </w:tbl>
    <w:p>
      <w:pPr>
        <w:pStyle w:val="6"/>
        <w:ind w:left="-567"/>
        <w:rPr>
          <w:rFonts w:ascii="Times New Roman" w:hAnsi="Times New Roman" w:cs="Times New Roman"/>
          <w:b w:val="0"/>
          <w:bCs w:val="0"/>
          <w:lang w:val="en-US"/>
        </w:rPr>
      </w:pPr>
      <w:r>
        <w:rPr>
          <w:rFonts w:ascii="Times New Roman" w:hAnsi="Times New Roman" w:cs="Times New Roman"/>
          <w:b w:val="0"/>
          <w:bCs w:val="0"/>
          <w:sz w:val="24"/>
          <w:szCs w:val="24"/>
        </w:rPr>
        <w:t xml:space="preserve">Sumber: </w:t>
      </w:r>
      <w:r>
        <w:rPr>
          <w:rFonts w:ascii="Times New Roman" w:hAnsi="Times New Roman" w:cs="Times New Roman"/>
          <w:b w:val="0"/>
          <w:bCs w:val="0"/>
          <w:lang w:val="en-US"/>
        </w:rPr>
        <w:t xml:space="preserve">Badan Pusat Statistik Kota Yogyakarta, </w:t>
      </w:r>
      <w:r>
        <w:rPr>
          <w:rFonts w:ascii="Times New Roman" w:hAnsi="Times New Roman" w:cs="Times New Roman"/>
          <w:b w:val="0"/>
          <w:bCs w:val="0"/>
          <w:i/>
          <w:lang w:val="en-US"/>
        </w:rPr>
        <w:t>Kota Yogyakarta Dalam Angka Tahun 2015</w:t>
      </w:r>
      <w:r>
        <w:rPr>
          <w:rFonts w:ascii="Times New Roman" w:hAnsi="Times New Roman" w:cs="Times New Roman"/>
          <w:b w:val="0"/>
          <w:bCs w:val="0"/>
          <w:lang w:val="en-US"/>
        </w:rPr>
        <w:t>, (Yogyakarta: BPS, 2015): 56.</w:t>
      </w:r>
    </w:p>
    <w:p>
      <w:pPr>
        <w:spacing w:after="0" w:line="480" w:lineRule="auto"/>
        <w:ind w:left="-567"/>
        <w:jc w:val="both"/>
        <w:rPr>
          <w:rFonts w:ascii="Times New Roman" w:hAnsi="Times New Roman" w:cs="Times New Roman"/>
          <w:sz w:val="24"/>
          <w:szCs w:val="24"/>
        </w:rPr>
      </w:pPr>
    </w:p>
    <w:p>
      <w:pPr>
        <w:spacing w:after="0" w:line="432"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Kehidupan kota yang mengatomisasi individu, menyebabkan lunturnya solidaritas. Pranata tradisional yang menyangga fungsi-fungsi sosial tergerus oleh meluasnya logika pertukaran pasar (marketisasi). Dalam logika pasar, pranata sosial berubah menjadi komoditas, tak ubahnya komoditas yang perjual-belikan dalam pasar. Ia mengalami komodifikasi. Demikian juga pranata sosial yang menyangga fungsi kesejahteraan pemakaman juga tidak lepas dari komodifikasi. </w:t>
      </w:r>
    </w:p>
    <w:p>
      <w:pPr>
        <w:pStyle w:val="14"/>
        <w:spacing w:after="0" w:line="432"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Masyarakat Kota Yogyakarta, sebagai masyarakat kota yang lain, mengalami permasalahan di seputar pelayanan jenazah, seperti semakin mahalnya biaya pengurusan kematian, ketersediaan lahan pemakaman dan semakin lunturnya rasa komunitas yang secara tradisional hadir sebagai penyangga pelayanan jenazah. </w:t>
      </w:r>
    </w:p>
    <w:p>
      <w:pPr>
        <w:pStyle w:val="14"/>
        <w:spacing w:after="0" w:line="432"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Berbeda dengan di wilayah pedesaaan, biaya yang dikeluarkan untuk pelayanan jenazah sudah tegolong mahal. Berikut ini perhitungan kasar pengeluaran untuk pelayanan jenazah.</w:t>
      </w:r>
    </w:p>
    <w:p>
      <w:pPr>
        <w:pStyle w:val="14"/>
        <w:spacing w:after="0" w:line="240" w:lineRule="auto"/>
        <w:ind w:left="0"/>
        <w:jc w:val="center"/>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Pr>
        <w:t>Tabel 3. Perhitungan Kasar Biaya Pelayanan Jenzah di Kota Yogyakarta</w:t>
      </w:r>
      <w:r>
        <w:rPr>
          <w:rStyle w:val="10"/>
          <w:rFonts w:ascii="Times New Roman" w:hAnsi="Times New Roman" w:eastAsia="Times New Roman" w:cs="Times New Roman"/>
          <w:b w:val="0"/>
          <w:bCs/>
          <w:sz w:val="24"/>
          <w:szCs w:val="24"/>
        </w:rPr>
        <w:footnoteReference w:id="12"/>
      </w:r>
    </w:p>
    <w:tbl>
      <w:tblPr>
        <w:tblStyle w:val="13"/>
        <w:tblW w:w="7967"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8"/>
        <w:gridCol w:w="4678"/>
        <w:gridCol w:w="2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38" w:type="dxa"/>
            <w:tcBorders>
              <w:top w:val="single" w:color="auto" w:sz="4" w:space="0"/>
              <w:bottom w:val="single" w:color="auto" w:sz="4" w:space="0"/>
            </w:tcBorders>
          </w:tcPr>
          <w:p>
            <w:pPr>
              <w:pStyle w:val="14"/>
              <w:spacing w:after="60" w:line="312" w:lineRule="auto"/>
              <w:ind w:left="0"/>
              <w:jc w:val="center"/>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Pr>
              <w:t>No.</w:t>
            </w:r>
          </w:p>
        </w:tc>
        <w:tc>
          <w:tcPr>
            <w:tcW w:w="4678" w:type="dxa"/>
            <w:tcBorders>
              <w:top w:val="single" w:color="auto" w:sz="4" w:space="0"/>
              <w:bottom w:val="single" w:color="auto" w:sz="4" w:space="0"/>
            </w:tcBorders>
          </w:tcPr>
          <w:p>
            <w:pPr>
              <w:pStyle w:val="14"/>
              <w:spacing w:after="60" w:line="312" w:lineRule="auto"/>
              <w:ind w:left="0"/>
              <w:jc w:val="center"/>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Pr>
              <w:t>Pembiayaan</w:t>
            </w:r>
          </w:p>
        </w:tc>
        <w:tc>
          <w:tcPr>
            <w:tcW w:w="2551" w:type="dxa"/>
            <w:tcBorders>
              <w:top w:val="single" w:color="auto" w:sz="4" w:space="0"/>
              <w:bottom w:val="single" w:color="auto" w:sz="4" w:space="0"/>
            </w:tcBorders>
          </w:tcPr>
          <w:p>
            <w:pPr>
              <w:pStyle w:val="14"/>
              <w:spacing w:after="60" w:line="312" w:lineRule="auto"/>
              <w:ind w:left="0"/>
              <w:jc w:val="center"/>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Pr>
              <w:t>Rupiah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38" w:type="dxa"/>
            <w:tcBorders>
              <w:top w:val="single" w:color="auto" w:sz="4" w:space="0"/>
            </w:tcBorders>
          </w:tcPr>
          <w:p>
            <w:pPr>
              <w:pStyle w:val="14"/>
              <w:spacing w:after="60" w:line="312" w:lineRule="auto"/>
              <w:ind w:left="0"/>
              <w:jc w:val="center"/>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Pr>
              <w:t>1.</w:t>
            </w:r>
          </w:p>
        </w:tc>
        <w:tc>
          <w:tcPr>
            <w:tcW w:w="4678" w:type="dxa"/>
            <w:tcBorders>
              <w:top w:val="single" w:color="auto" w:sz="4" w:space="0"/>
            </w:tcBorders>
          </w:tcPr>
          <w:p>
            <w:pPr>
              <w:pStyle w:val="14"/>
              <w:spacing w:after="60" w:line="312" w:lineRule="auto"/>
              <w:ind w:left="0"/>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Pr>
              <w:t>Biaya tanah makam (bila tidak di TPU)</w:t>
            </w:r>
          </w:p>
        </w:tc>
        <w:tc>
          <w:tcPr>
            <w:tcW w:w="2551" w:type="dxa"/>
            <w:tcBorders>
              <w:top w:val="single" w:color="auto" w:sz="4" w:space="0"/>
            </w:tcBorders>
          </w:tcPr>
          <w:p>
            <w:pPr>
              <w:pStyle w:val="14"/>
              <w:spacing w:after="60" w:line="312" w:lineRule="auto"/>
              <w:ind w:left="0"/>
              <w:jc w:val="right"/>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Pr>
              <w:t>Rp. 1.500.000,00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38" w:type="dxa"/>
          </w:tcPr>
          <w:p>
            <w:pPr>
              <w:pStyle w:val="14"/>
              <w:spacing w:after="60" w:line="312" w:lineRule="auto"/>
              <w:ind w:left="0"/>
              <w:jc w:val="center"/>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Pr>
              <w:t>2.</w:t>
            </w:r>
          </w:p>
        </w:tc>
        <w:tc>
          <w:tcPr>
            <w:tcW w:w="4678" w:type="dxa"/>
          </w:tcPr>
          <w:p>
            <w:pPr>
              <w:pStyle w:val="14"/>
              <w:spacing w:after="60" w:line="312" w:lineRule="auto"/>
              <w:ind w:left="0"/>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Pr>
              <w:t>Bedah Bumi (Penggali kubur) @ 2 orang</w:t>
            </w:r>
          </w:p>
        </w:tc>
        <w:tc>
          <w:tcPr>
            <w:tcW w:w="2551" w:type="dxa"/>
          </w:tcPr>
          <w:p>
            <w:pPr>
              <w:pStyle w:val="14"/>
              <w:spacing w:after="60" w:line="312" w:lineRule="auto"/>
              <w:ind w:left="0"/>
              <w:jc w:val="right"/>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Pr>
              <w:t>Rp 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38" w:type="dxa"/>
          </w:tcPr>
          <w:p>
            <w:pPr>
              <w:pStyle w:val="14"/>
              <w:spacing w:after="60" w:line="312" w:lineRule="auto"/>
              <w:ind w:left="0"/>
              <w:jc w:val="center"/>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Pr>
              <w:t>3.</w:t>
            </w:r>
          </w:p>
        </w:tc>
        <w:tc>
          <w:tcPr>
            <w:tcW w:w="4678" w:type="dxa"/>
          </w:tcPr>
          <w:p>
            <w:pPr>
              <w:pStyle w:val="14"/>
              <w:spacing w:after="60" w:line="312" w:lineRule="auto"/>
              <w:ind w:left="0"/>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Pr>
              <w:t>Kendaraan dari rumah ke pemakaman (ambulance)</w:t>
            </w:r>
          </w:p>
        </w:tc>
        <w:tc>
          <w:tcPr>
            <w:tcW w:w="2551" w:type="dxa"/>
          </w:tcPr>
          <w:p>
            <w:pPr>
              <w:pStyle w:val="14"/>
              <w:spacing w:after="60" w:line="312" w:lineRule="auto"/>
              <w:ind w:left="0"/>
              <w:jc w:val="right"/>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Pr>
              <w:t>Rp 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38" w:type="dxa"/>
            <w:tcBorders>
              <w:bottom w:val="single" w:color="auto" w:sz="4" w:space="0"/>
            </w:tcBorders>
          </w:tcPr>
          <w:p>
            <w:pPr>
              <w:pStyle w:val="14"/>
              <w:spacing w:after="60" w:line="312" w:lineRule="auto"/>
              <w:ind w:left="0"/>
              <w:jc w:val="center"/>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Pr>
              <w:t>4.</w:t>
            </w:r>
          </w:p>
        </w:tc>
        <w:tc>
          <w:tcPr>
            <w:tcW w:w="4678" w:type="dxa"/>
            <w:tcBorders>
              <w:bottom w:val="single" w:color="auto" w:sz="4" w:space="0"/>
            </w:tcBorders>
          </w:tcPr>
          <w:p>
            <w:pPr>
              <w:pStyle w:val="14"/>
              <w:spacing w:after="60" w:line="312" w:lineRule="auto"/>
              <w:ind w:left="0"/>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Pr>
              <w:t>Biaya lain-lain (konsumsi, tarub, dll)</w:t>
            </w:r>
          </w:p>
        </w:tc>
        <w:tc>
          <w:tcPr>
            <w:tcW w:w="2551" w:type="dxa"/>
            <w:tcBorders>
              <w:bottom w:val="single" w:color="auto" w:sz="4" w:space="0"/>
            </w:tcBorders>
          </w:tcPr>
          <w:p>
            <w:pPr>
              <w:pStyle w:val="14"/>
              <w:spacing w:after="60" w:line="312" w:lineRule="auto"/>
              <w:ind w:left="0"/>
              <w:jc w:val="right"/>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Pr>
              <w:t>Rp 1.000.000,00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416" w:type="dxa"/>
            <w:gridSpan w:val="2"/>
            <w:tcBorders>
              <w:top w:val="single" w:color="auto" w:sz="4" w:space="0"/>
              <w:bottom w:val="single" w:color="auto" w:sz="4" w:space="0"/>
            </w:tcBorders>
          </w:tcPr>
          <w:p>
            <w:pPr>
              <w:pStyle w:val="14"/>
              <w:spacing w:after="60" w:line="312" w:lineRule="auto"/>
              <w:ind w:left="0"/>
              <w:jc w:val="center"/>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Pr>
              <w:t>Total</w:t>
            </w:r>
          </w:p>
        </w:tc>
        <w:tc>
          <w:tcPr>
            <w:tcW w:w="2551" w:type="dxa"/>
            <w:tcBorders>
              <w:top w:val="single" w:color="auto" w:sz="4" w:space="0"/>
              <w:bottom w:val="single" w:color="auto" w:sz="4" w:space="0"/>
            </w:tcBorders>
          </w:tcPr>
          <w:p>
            <w:pPr>
              <w:pStyle w:val="14"/>
              <w:spacing w:after="60" w:line="312" w:lineRule="auto"/>
              <w:ind w:left="0"/>
              <w:jc w:val="right"/>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Pr>
              <w:t>Rp 3.500.000,00</w:t>
            </w:r>
          </w:p>
        </w:tc>
      </w:tr>
    </w:tbl>
    <w:p>
      <w:pPr>
        <w:pStyle w:val="14"/>
        <w:spacing w:after="0" w:line="240" w:lineRule="auto"/>
        <w:ind w:left="0"/>
        <w:jc w:val="both"/>
        <w:rPr>
          <w:rFonts w:ascii="Times New Roman" w:hAnsi="Times New Roman" w:eastAsia="Times New Roman" w:cs="Times New Roman"/>
          <w:b w:val="0"/>
          <w:bCs/>
          <w:sz w:val="24"/>
          <w:szCs w:val="24"/>
          <w:lang w:val="en-US"/>
        </w:rPr>
      </w:pPr>
      <w:r>
        <w:rPr>
          <w:rFonts w:ascii="Times New Roman" w:hAnsi="Times New Roman" w:eastAsia="Times New Roman" w:cs="Times New Roman"/>
          <w:b w:val="0"/>
          <w:bCs/>
          <w:sz w:val="24"/>
          <w:szCs w:val="24"/>
        </w:rPr>
        <w:t xml:space="preserve">Sumber: </w:t>
      </w:r>
      <w:r>
        <w:rPr>
          <w:rFonts w:ascii="Times New Roman" w:hAnsi="Times New Roman" w:eastAsia="Times New Roman" w:cs="Times New Roman"/>
          <w:b w:val="0"/>
          <w:bCs/>
          <w:sz w:val="24"/>
          <w:szCs w:val="24"/>
          <w:lang w:val="en-US"/>
        </w:rPr>
        <w:t xml:space="preserve">“Biaya Kematian Itu Berapa”, </w:t>
      </w:r>
      <w:r>
        <w:rPr>
          <w:b w:val="0"/>
          <w:bCs/>
        </w:rPr>
        <w:fldChar w:fldCharType="begin"/>
      </w:r>
      <w:r>
        <w:rPr>
          <w:b w:val="0"/>
          <w:bCs/>
        </w:rPr>
        <w:instrText xml:space="preserve"> HYPERLINK "http://jagongan.org/2014/10/27/biaya-kematian-itu-berapa/" </w:instrText>
      </w:r>
      <w:r>
        <w:rPr>
          <w:b w:val="0"/>
          <w:bCs/>
        </w:rPr>
        <w:fldChar w:fldCharType="separate"/>
      </w:r>
      <w:r>
        <w:rPr>
          <w:rStyle w:val="11"/>
          <w:rFonts w:ascii="Times New Roman" w:hAnsi="Times New Roman" w:cs="Times New Roman"/>
          <w:b w:val="0"/>
          <w:bCs/>
          <w:color w:val="auto"/>
          <w:sz w:val="24"/>
          <w:szCs w:val="24"/>
          <w:u w:val="none"/>
        </w:rPr>
        <w:t>http://jagongan.org/2014/10/27/biaya-kematian-itu-berapa/</w:t>
      </w:r>
      <w:r>
        <w:rPr>
          <w:rStyle w:val="11"/>
          <w:rFonts w:ascii="Times New Roman" w:hAnsi="Times New Roman" w:cs="Times New Roman"/>
          <w:b w:val="0"/>
          <w:bCs/>
          <w:color w:val="auto"/>
          <w:sz w:val="24"/>
          <w:szCs w:val="24"/>
          <w:u w:val="none"/>
        </w:rPr>
        <w:fldChar w:fldCharType="end"/>
      </w:r>
      <w:r>
        <w:rPr>
          <w:rStyle w:val="11"/>
          <w:rFonts w:ascii="Times New Roman" w:hAnsi="Times New Roman" w:cs="Times New Roman"/>
          <w:b w:val="0"/>
          <w:bCs/>
          <w:color w:val="auto"/>
          <w:sz w:val="24"/>
          <w:szCs w:val="24"/>
          <w:u w:val="none"/>
          <w:lang w:val="en-US"/>
        </w:rPr>
        <w:t>, (diakses tanggal 15 Desember 2015).</w:t>
      </w:r>
    </w:p>
    <w:p>
      <w:pPr>
        <w:pStyle w:val="14"/>
        <w:spacing w:after="0" w:line="432" w:lineRule="auto"/>
        <w:ind w:left="0" w:firstLine="567"/>
        <w:jc w:val="both"/>
        <w:rPr>
          <w:rFonts w:ascii="Times New Roman" w:hAnsi="Times New Roman" w:eastAsia="Times New Roman" w:cs="Times New Roman"/>
          <w:sz w:val="24"/>
          <w:szCs w:val="24"/>
        </w:rPr>
      </w:pPr>
    </w:p>
    <w:p>
      <w:pPr>
        <w:pStyle w:val="14"/>
        <w:spacing w:after="0" w:line="432"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Bagi keluarga yang berpenghasilan rendah, biaya di atas tergolong tinggi. Untuk meringankan biaya kelompok masyarakat tersebut, sebetulnya secara sosial komunitas masih berperan, yaitu misalnya dengan penyediaan perlengkapan seperti kursi, tenda, perlengkapan perawatan jenzah, sampai dengan penggali kubur. Biasanya hal itu dikelola oleh “</w:t>
      </w:r>
      <w:r>
        <w:rPr>
          <w:rFonts w:ascii="Times New Roman" w:hAnsi="Times New Roman" w:eastAsia="Times New Roman" w:cs="Times New Roman"/>
          <w:i/>
          <w:sz w:val="24"/>
          <w:szCs w:val="24"/>
        </w:rPr>
        <w:t>seksi lelayu</w:t>
      </w:r>
      <w:r>
        <w:rPr>
          <w:rFonts w:ascii="Times New Roman" w:hAnsi="Times New Roman" w:eastAsia="Times New Roman" w:cs="Times New Roman"/>
          <w:sz w:val="24"/>
          <w:szCs w:val="24"/>
        </w:rPr>
        <w:t>”, organisasi pelayanan jenazah yang berada di bawah koordinasi RT/RW. Adapun biaya untuk pembelian perlengkapan tersebut berasal dari iuran warga. Akan tetapi tidak setiap wilayah memiliki organisasi kematian tersebut.</w:t>
      </w:r>
    </w:p>
    <w:p>
      <w:pPr>
        <w:pStyle w:val="14"/>
        <w:spacing w:after="0" w:line="432"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Saat ini Pemerintah Kota Yogyakarta telah menyediakan jaminan kematian bagi pemegang Kartu Menuju Sejahtera (KMS). Akan tetapi baru tersedia untuk 1.040 penerima saja dengan total dana yang dianggarkan sebanyak Rp 1,3 miliyar. Sampai triwulan ketiga 2015, total penerima mencapi 700 orang dengan rata-rata pemohon sebanayk 90 orang per bulannya. Jumlah yang dapat diperoleh oleh ahli waris dapat mencapai Rp 1,2 juta per orang.</w:t>
      </w:r>
      <w:r>
        <w:rPr>
          <w:rStyle w:val="10"/>
          <w:rFonts w:ascii="Times New Roman" w:hAnsi="Times New Roman" w:eastAsia="Times New Roman" w:cs="Times New Roman"/>
          <w:sz w:val="24"/>
          <w:szCs w:val="24"/>
        </w:rPr>
        <w:footnoteReference w:id="13"/>
      </w:r>
      <w:r>
        <w:rPr>
          <w:rFonts w:ascii="Times New Roman" w:hAnsi="Times New Roman" w:eastAsia="Times New Roman" w:cs="Times New Roman"/>
          <w:sz w:val="24"/>
          <w:szCs w:val="24"/>
        </w:rPr>
        <w:t xml:space="preserve"> Dengan jumlah tersebut dan minimnya kuota penerima masih belum dapat dikatakan optimal.</w:t>
      </w:r>
    </w:p>
    <w:p>
      <w:pPr>
        <w:pStyle w:val="14"/>
        <w:spacing w:after="0" w:line="432" w:lineRule="auto"/>
        <w:ind w:left="0" w:firstLine="567"/>
        <w:jc w:val="both"/>
        <w:rPr>
          <w:rFonts w:ascii="Times New Roman" w:hAnsi="Times New Roman" w:eastAsia="Times New Roman" w:cs="Times New Roman"/>
          <w:sz w:val="24"/>
          <w:szCs w:val="24"/>
        </w:rPr>
      </w:pPr>
    </w:p>
    <w:p>
      <w:pPr>
        <w:pStyle w:val="2"/>
        <w:numPr>
          <w:ilvl w:val="0"/>
          <w:numId w:val="1"/>
        </w:numPr>
        <w:spacing w:before="0" w:after="120" w:line="240" w:lineRule="auto"/>
        <w:ind w:left="0" w:leftChars="0" w:firstLine="0" w:firstLineChars="0"/>
        <w:rPr>
          <w:rFonts w:ascii="Times New Roman" w:hAnsi="Times New Roman" w:eastAsia="Times New Roman" w:cs="Times New Roman"/>
          <w:b/>
          <w:color w:val="auto"/>
          <w:sz w:val="24"/>
          <w:szCs w:val="24"/>
        </w:rPr>
      </w:pPr>
      <w:r>
        <w:rPr>
          <w:rFonts w:ascii="Times New Roman" w:hAnsi="Times New Roman" w:eastAsia="Times New Roman" w:cs="Times New Roman"/>
          <w:b/>
          <w:color w:val="auto"/>
          <w:sz w:val="24"/>
          <w:szCs w:val="24"/>
        </w:rPr>
        <w:t>VARIASI DAN SKEMA KESEJAHTERAAN PELAYANAN JENAZAH</w:t>
      </w:r>
    </w:p>
    <w:p>
      <w:pPr>
        <w:pStyle w:val="14"/>
        <w:spacing w:after="0" w:line="432"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Berbicara variasi pelayanan jenazah di Yogyakarta, sebagaimana di tempat lain di Jawa, pada umumnya selalu melibatkan komunitas dan dibingkai dalam nilai religiusitas, meskipun dalam tingkat yang berbeda-beda. Di bawah ini akan dijelaskan beberapa variasi </w:t>
      </w:r>
      <w:r>
        <w:rPr>
          <w:rFonts w:ascii="Times New Roman" w:hAnsi="Times New Roman" w:eastAsia="Times New Roman" w:cs="Times New Roman"/>
          <w:i/>
          <w:sz w:val="24"/>
          <w:szCs w:val="24"/>
        </w:rPr>
        <w:t xml:space="preserve">institusi </w:t>
      </w:r>
      <w:r>
        <w:rPr>
          <w:rFonts w:ascii="Times New Roman" w:hAnsi="Times New Roman" w:eastAsia="Times New Roman" w:cs="Times New Roman"/>
          <w:sz w:val="24"/>
          <w:szCs w:val="24"/>
        </w:rPr>
        <w:t>pelayanan jenazah. Adapun variasi yang muncul, dalam pelayanan jenazah di Yogyakarta adalah sebagai berikut :</w:t>
      </w:r>
    </w:p>
    <w:p>
      <w:pPr>
        <w:pStyle w:val="14"/>
        <w:numPr>
          <w:ilvl w:val="0"/>
          <w:numId w:val="2"/>
        </w:numPr>
        <w:spacing w:after="0" w:line="432" w:lineRule="auto"/>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Pelayanan Jenazah Komunitas</w:t>
      </w:r>
    </w:p>
    <w:p>
      <w:pPr>
        <w:pStyle w:val="14"/>
        <w:spacing w:after="0" w:line="432"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Pelayanan ini yang paling umum dilaksanakan. Pada umumnya jika ada yang meninggal dunia, pihak keluarga langsung memberikan informasi kepada pihak RT/RW (mengingat sudah tidak ada birokrasi </w:t>
      </w:r>
      <w:r>
        <w:rPr>
          <w:rFonts w:ascii="Times New Roman" w:hAnsi="Times New Roman" w:eastAsia="Times New Roman" w:cs="Times New Roman"/>
          <w:i/>
          <w:sz w:val="24"/>
          <w:szCs w:val="24"/>
        </w:rPr>
        <w:t>modin</w:t>
      </w:r>
      <w:r>
        <w:rPr>
          <w:rFonts w:ascii="Times New Roman" w:hAnsi="Times New Roman" w:eastAsia="Times New Roman" w:cs="Times New Roman"/>
          <w:sz w:val="24"/>
          <w:szCs w:val="24"/>
        </w:rPr>
        <w:t xml:space="preserve"> dalam stuktur kelurahan di kota). RT/RW pada umumnya mereka memiliki organisasi kematian sendiri yang dinamai “</w:t>
      </w:r>
      <w:r>
        <w:rPr>
          <w:rFonts w:ascii="Times New Roman" w:hAnsi="Times New Roman" w:eastAsia="Times New Roman" w:cs="Times New Roman"/>
          <w:i/>
          <w:sz w:val="24"/>
          <w:szCs w:val="24"/>
        </w:rPr>
        <w:t>seksi lelayu</w:t>
      </w:r>
      <w:r>
        <w:rPr>
          <w:rFonts w:ascii="Times New Roman" w:hAnsi="Times New Roman" w:eastAsia="Times New Roman" w:cs="Times New Roman"/>
          <w:sz w:val="24"/>
          <w:szCs w:val="24"/>
        </w:rPr>
        <w:t>”. Seksi ini pada umumnya memiliki struktur yang tidak terlalu kaku, dan para pengurusnya dipilih semata karena mereka yang memiliki pengalaman dalam pengurusan jenazah. Seksi ini juga memili kas sendiri yang diambil dari iuran RT/RW dengan jumlah yang bervariasi. Perlengkapan kain kafan, minyak wangi, kursi, tenda umumnya telah tersedia, sehingga pihak keluarga tidak direpotkan dengan hal-hal semacam itu.Untuk pengurusan jenazah biasanya ada tokoh agama yang secara khusus membimbing keluarga dalam pengurusan jenazah.</w:t>
      </w:r>
    </w:p>
    <w:p>
      <w:pPr>
        <w:pStyle w:val="14"/>
        <w:numPr>
          <w:ilvl w:val="0"/>
          <w:numId w:val="2"/>
        </w:numPr>
        <w:spacing w:after="0" w:line="432" w:lineRule="auto"/>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Pelayanan Jenzah Kaum Agama</w:t>
      </w:r>
    </w:p>
    <w:p>
      <w:pPr>
        <w:pStyle w:val="14"/>
        <w:spacing w:after="0" w:line="432"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Pelayanan ini pada umumnya dilaksanakan pada wilayah yang lebih religius. Kelompok yang dominan juga dari komunitas pengajian ataupun jamaah masjid yang terorganisir, dengan semangat bahwa pengurusan jenazah juga harus sesuai dengan tuntunan agama mereka. Mereka biasanya sudah terlatih dalam mengurus jenazah dilengkapi dengan perlengkapan dalam perawatan jenazah. Biaya yang mereka miliki pada umumhya berasal dari kas pengajian/masjid. Organisasi seperti Muhammadiyah tingkat bawah (ranting) juga biasanya menyelenggarakan hal seperti itu. Akan tetapi biasanya pelayanan ini hanya terbatas pada anggota jamaahnya saja.</w:t>
      </w:r>
    </w:p>
    <w:p>
      <w:pPr>
        <w:pStyle w:val="14"/>
        <w:numPr>
          <w:ilvl w:val="0"/>
          <w:numId w:val="2"/>
        </w:numPr>
        <w:spacing w:after="0" w:line="432" w:lineRule="auto"/>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Pelayanan Jenzah Komersil</w:t>
      </w:r>
    </w:p>
    <w:p>
      <w:pPr>
        <w:pStyle w:val="14"/>
        <w:spacing w:after="0" w:line="432"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Di Yogyakarta telah muncul lembaga yang secara profesional mengurus jenazah, yaitu Yayasan Bunga Selasih dan Khusnul Khotimah RS PKU Muhammadiyah. Kedunya menyediakan secara profesional perawtan jenzah dari awal sampai akhir dengan biaya tertentu. Pada umumnya pengguna dari lembaga-lembaga ini adalah mereka yang berada di wilayah perumahan yang warganya belum memiliki lembaga organisasi kematian sendiri.</w:t>
      </w:r>
    </w:p>
    <w:p>
      <w:pPr>
        <w:pStyle w:val="14"/>
        <w:spacing w:after="0" w:line="432" w:lineRule="auto"/>
        <w:ind w:left="0"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Dengan variasi-variasi tersebut dalam dijelaskan bahwa telah banyak variasi institusi yang muncul seiring dengan perkembangan masyarakat kota. Jika pada mulanya peran komunitas dan </w:t>
      </w:r>
      <w:r>
        <w:rPr>
          <w:rFonts w:ascii="Times New Roman" w:hAnsi="Times New Roman" w:eastAsia="Times New Roman" w:cs="Times New Roman"/>
          <w:i/>
          <w:sz w:val="24"/>
          <w:szCs w:val="24"/>
        </w:rPr>
        <w:t>modin</w:t>
      </w:r>
      <w:r>
        <w:rPr>
          <w:rFonts w:ascii="Times New Roman" w:hAnsi="Times New Roman" w:eastAsia="Times New Roman" w:cs="Times New Roman"/>
          <w:sz w:val="24"/>
          <w:szCs w:val="24"/>
        </w:rPr>
        <w:t xml:space="preserve"> sangat besar, pada taraf tertentu menyusut atau malah digantikan dengan institusi baru, seperti layanan dari kelompok keagamaan dan lembaga profesional. Dampak dari variasi itu tentu menyangkut skema kesejahteraan dari masing-masing institusi tersebut. Adapun dapat dilihat beberapa variasi kesejahteraan pemakaman di Kota Yogyakarta.</w:t>
      </w:r>
    </w:p>
    <w:p>
      <w:pPr>
        <w:pStyle w:val="14"/>
        <w:numPr>
          <w:ilvl w:val="0"/>
          <w:numId w:val="3"/>
        </w:numPr>
        <w:spacing w:after="0" w:line="432" w:lineRule="auto"/>
        <w:ind w:left="426"/>
        <w:jc w:val="both"/>
        <w:rPr>
          <w:rFonts w:ascii="Times New Roman" w:hAnsi="Times New Roman" w:cs="Times New Roman"/>
          <w:sz w:val="24"/>
          <w:szCs w:val="24"/>
        </w:rPr>
      </w:pPr>
      <w:r>
        <w:rPr>
          <w:rFonts w:ascii="Times New Roman" w:hAnsi="Times New Roman" w:cs="Times New Roman"/>
          <w:sz w:val="24"/>
          <w:szCs w:val="24"/>
        </w:rPr>
        <w:t>Liberal</w:t>
      </w:r>
    </w:p>
    <w:p>
      <w:pPr>
        <w:pStyle w:val="14"/>
        <w:spacing w:after="0" w:line="432" w:lineRule="auto"/>
        <w:ind w:left="0" w:firstLine="567"/>
        <w:jc w:val="both"/>
        <w:rPr>
          <w:rFonts w:ascii="Times New Roman" w:hAnsi="Times New Roman" w:cs="Times New Roman"/>
          <w:sz w:val="24"/>
          <w:szCs w:val="24"/>
        </w:rPr>
      </w:pPr>
      <w:r>
        <w:rPr>
          <w:rFonts w:ascii="Times New Roman" w:hAnsi="Times New Roman" w:cs="Times New Roman"/>
          <w:sz w:val="24"/>
          <w:szCs w:val="24"/>
        </w:rPr>
        <w:t>Skema penyediaan kesejahteraan pemakaman dengan menyerahkan sepenuhnya kepada profesional (</w:t>
      </w:r>
      <w:r>
        <w:rPr>
          <w:rFonts w:ascii="Times New Roman" w:hAnsi="Times New Roman" w:cs="Times New Roman"/>
          <w:i/>
          <w:sz w:val="24"/>
          <w:szCs w:val="24"/>
        </w:rPr>
        <w:t>burial director</w:t>
      </w:r>
      <w:r>
        <w:rPr>
          <w:rFonts w:ascii="Times New Roman" w:hAnsi="Times New Roman" w:cs="Times New Roman"/>
          <w:sz w:val="24"/>
          <w:szCs w:val="24"/>
        </w:rPr>
        <w:t>) yang seduai dengan bidangnya, mulai dari mengurus jenazah dalam hukum Islam (memandikan, mengkafani, mensholatkan, menguburkan) dengan harga tertentu. Skema ini disediakan oleh Yayasan Bunga Selasih (YBS) dan Khusnul Khotimah RS PKU Muhammadiyah. Model ini banyak terjadi di dalam komunitas dimana solidaritasnya rendah, seperti di perumahan-perumahan elit.</w:t>
      </w:r>
    </w:p>
    <w:p>
      <w:pPr>
        <w:pStyle w:val="14"/>
        <w:numPr>
          <w:ilvl w:val="0"/>
          <w:numId w:val="3"/>
        </w:numPr>
        <w:spacing w:after="0" w:line="432" w:lineRule="auto"/>
        <w:ind w:left="426" w:hanging="426"/>
        <w:jc w:val="both"/>
        <w:rPr>
          <w:rFonts w:ascii="Times New Roman" w:hAnsi="Times New Roman" w:cs="Times New Roman"/>
          <w:sz w:val="24"/>
          <w:szCs w:val="24"/>
        </w:rPr>
      </w:pPr>
      <w:r>
        <w:rPr>
          <w:rFonts w:ascii="Times New Roman" w:hAnsi="Times New Roman" w:cs="Times New Roman"/>
          <w:sz w:val="24"/>
          <w:szCs w:val="24"/>
        </w:rPr>
        <w:t>Korporatis-Konservatif</w:t>
      </w:r>
    </w:p>
    <w:p>
      <w:pPr>
        <w:pStyle w:val="14"/>
        <w:spacing w:after="0" w:line="432" w:lineRule="auto"/>
        <w:ind w:left="0" w:firstLine="709"/>
        <w:jc w:val="both"/>
        <w:rPr>
          <w:rFonts w:ascii="Times New Roman" w:hAnsi="Times New Roman" w:cs="Times New Roman"/>
          <w:sz w:val="24"/>
          <w:szCs w:val="24"/>
        </w:rPr>
      </w:pPr>
      <w:r>
        <w:rPr>
          <w:rFonts w:ascii="Times New Roman" w:hAnsi="Times New Roman" w:cs="Times New Roman"/>
          <w:sz w:val="24"/>
          <w:szCs w:val="24"/>
        </w:rPr>
        <w:t>Skema penyediaan ini banyak melibatkan organisasi masyarakat keagamaan yang banyak tersebar di Yogyakarta, seperti kelompok pengajian, organisasi Muhammadiyah, ta’mir-ta’mir masjid dan pondok pesantren. Masyarakat yang dilayani biasanya disekitar pusat aktifitas organisasi-organisasi itu maupun mereka yang berafiliasi kepada organisasi itu.</w:t>
      </w:r>
    </w:p>
    <w:p>
      <w:pPr>
        <w:pStyle w:val="14"/>
        <w:numPr>
          <w:ilvl w:val="0"/>
          <w:numId w:val="3"/>
        </w:numPr>
        <w:spacing w:after="0" w:line="432" w:lineRule="auto"/>
        <w:ind w:left="426" w:hanging="426"/>
        <w:jc w:val="both"/>
        <w:rPr>
          <w:rFonts w:ascii="Times New Roman" w:hAnsi="Times New Roman" w:cs="Times New Roman"/>
          <w:sz w:val="24"/>
          <w:szCs w:val="24"/>
        </w:rPr>
      </w:pPr>
      <w:r>
        <w:rPr>
          <w:rFonts w:ascii="Times New Roman" w:hAnsi="Times New Roman" w:cs="Times New Roman"/>
          <w:sz w:val="24"/>
          <w:szCs w:val="24"/>
        </w:rPr>
        <w:t>Sosial-Demokrasi</w:t>
      </w:r>
      <w:r>
        <w:rPr>
          <w:rFonts w:ascii="Times New Roman" w:hAnsi="Times New Roman" w:cs="Times New Roman"/>
          <w:sz w:val="24"/>
          <w:szCs w:val="24"/>
        </w:rPr>
        <w:tab/>
      </w:r>
    </w:p>
    <w:p>
      <w:pPr>
        <w:pStyle w:val="14"/>
        <w:spacing w:after="0" w:line="432" w:lineRule="auto"/>
        <w:ind w:left="0" w:firstLine="567"/>
        <w:jc w:val="both"/>
        <w:rPr>
          <w:rFonts w:ascii="Times New Roman" w:hAnsi="Times New Roman" w:cs="Times New Roman"/>
          <w:sz w:val="24"/>
          <w:szCs w:val="24"/>
        </w:rPr>
      </w:pPr>
      <w:r>
        <w:rPr>
          <w:rFonts w:ascii="Times New Roman" w:hAnsi="Times New Roman" w:cs="Times New Roman"/>
          <w:sz w:val="24"/>
          <w:szCs w:val="24"/>
        </w:rPr>
        <w:t>Skema ini lazim ditemukan di kampung-kampung dimana pengurusan dilaksanakan oleh modin dusun/kelurahan setempat. Kewajiban modin salah satunya adalah mendatangi keluarga yang terkana musibah, baik diundang maupun tidak.</w:t>
      </w:r>
    </w:p>
    <w:p>
      <w:pPr>
        <w:pStyle w:val="14"/>
        <w:spacing w:after="0" w:line="240" w:lineRule="auto"/>
        <w:ind w:left="0"/>
        <w:jc w:val="center"/>
        <w:rPr>
          <w:rFonts w:ascii="Times New Roman" w:hAnsi="Times New Roman" w:cs="Times New Roman"/>
          <w:b w:val="0"/>
          <w:bCs/>
          <w:sz w:val="24"/>
          <w:szCs w:val="24"/>
        </w:rPr>
      </w:pPr>
      <w:r>
        <w:rPr>
          <w:rFonts w:ascii="Times New Roman" w:hAnsi="Times New Roman" w:cs="Times New Roman"/>
          <w:b w:val="0"/>
          <w:bCs/>
          <w:sz w:val="24"/>
          <w:szCs w:val="24"/>
        </w:rPr>
        <w:t>Tabel. Variasi dan Skema Kesejahteraan</w:t>
      </w:r>
    </w:p>
    <w:tbl>
      <w:tblPr>
        <w:tblStyle w:val="13"/>
        <w:tblW w:w="8153"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39"/>
        <w:gridCol w:w="2038"/>
        <w:gridCol w:w="2038"/>
        <w:gridCol w:w="2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39" w:type="dxa"/>
            <w:tcBorders>
              <w:top w:val="single" w:color="auto" w:sz="4" w:space="0"/>
              <w:bottom w:val="single" w:color="auto" w:sz="4" w:space="0"/>
            </w:tcBorders>
            <w:vAlign w:val="center"/>
          </w:tcPr>
          <w:p>
            <w:pPr>
              <w:pStyle w:val="14"/>
              <w:spacing w:after="0" w:line="240" w:lineRule="auto"/>
              <w:ind w:left="0"/>
              <w:contextualSpacing w:val="0"/>
              <w:jc w:val="center"/>
              <w:rPr>
                <w:rFonts w:ascii="Times New Roman" w:hAnsi="Times New Roman" w:cs="Times New Roman"/>
                <w:b w:val="0"/>
                <w:bCs/>
                <w:sz w:val="24"/>
                <w:szCs w:val="24"/>
                <w:lang w:val="en-US"/>
              </w:rPr>
            </w:pPr>
            <w:r>
              <w:rPr>
                <w:rFonts w:ascii="Times New Roman" w:hAnsi="Times New Roman" w:cs="Times New Roman"/>
                <w:b w:val="0"/>
                <w:bCs/>
                <w:sz w:val="24"/>
                <w:szCs w:val="24"/>
                <w:lang w:val="en-US"/>
              </w:rPr>
              <w:t>A</w:t>
            </w:r>
            <w:r>
              <w:rPr>
                <w:rFonts w:ascii="Times New Roman" w:hAnsi="Times New Roman" w:cs="Times New Roman"/>
                <w:b w:val="0"/>
                <w:bCs/>
                <w:sz w:val="24"/>
                <w:szCs w:val="24"/>
              </w:rPr>
              <w:t>s</w:t>
            </w:r>
            <w:r>
              <w:rPr>
                <w:rFonts w:ascii="Times New Roman" w:hAnsi="Times New Roman" w:cs="Times New Roman"/>
                <w:b w:val="0"/>
                <w:bCs/>
                <w:sz w:val="24"/>
                <w:szCs w:val="24"/>
                <w:lang w:val="en-US"/>
              </w:rPr>
              <w:t>p</w:t>
            </w:r>
            <w:r>
              <w:rPr>
                <w:rFonts w:ascii="Times New Roman" w:hAnsi="Times New Roman" w:cs="Times New Roman"/>
                <w:b w:val="0"/>
                <w:bCs/>
                <w:sz w:val="24"/>
                <w:szCs w:val="24"/>
              </w:rPr>
              <w:t>ek</w:t>
            </w:r>
          </w:p>
        </w:tc>
        <w:tc>
          <w:tcPr>
            <w:tcW w:w="2038" w:type="dxa"/>
            <w:tcBorders>
              <w:top w:val="single" w:color="auto" w:sz="4" w:space="0"/>
              <w:bottom w:val="single" w:color="auto" w:sz="4" w:space="0"/>
            </w:tcBorders>
            <w:vAlign w:val="center"/>
          </w:tcPr>
          <w:p>
            <w:pPr>
              <w:pStyle w:val="14"/>
              <w:spacing w:after="0" w:line="240"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Liberal</w:t>
            </w:r>
          </w:p>
        </w:tc>
        <w:tc>
          <w:tcPr>
            <w:tcW w:w="2038" w:type="dxa"/>
            <w:tcBorders>
              <w:top w:val="single" w:color="auto" w:sz="4" w:space="0"/>
              <w:bottom w:val="single" w:color="auto" w:sz="4" w:space="0"/>
            </w:tcBorders>
            <w:vAlign w:val="center"/>
          </w:tcPr>
          <w:p>
            <w:pPr>
              <w:pStyle w:val="14"/>
              <w:spacing w:after="0" w:line="240"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Konservatif/</w:t>
            </w:r>
          </w:p>
          <w:p>
            <w:pPr>
              <w:pStyle w:val="14"/>
              <w:spacing w:after="0" w:line="240"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Korporatis</w:t>
            </w:r>
          </w:p>
        </w:tc>
        <w:tc>
          <w:tcPr>
            <w:tcW w:w="2038" w:type="dxa"/>
            <w:tcBorders>
              <w:top w:val="single" w:color="auto" w:sz="4" w:space="0"/>
              <w:bottom w:val="single" w:color="auto" w:sz="4" w:space="0"/>
            </w:tcBorders>
            <w:vAlign w:val="center"/>
          </w:tcPr>
          <w:p>
            <w:pPr>
              <w:pStyle w:val="14"/>
              <w:spacing w:after="0" w:line="240"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Sosial-Demokrasi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39" w:type="dxa"/>
            <w:tcBorders>
              <w:top w:val="single" w:color="auto" w:sz="4" w:space="0"/>
            </w:tcBorders>
            <w:vAlign w:val="center"/>
          </w:tcPr>
          <w:p>
            <w:pPr>
              <w:pStyle w:val="14"/>
              <w:spacing w:after="0" w:line="240"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Institusi</w:t>
            </w:r>
          </w:p>
          <w:p>
            <w:pPr>
              <w:pStyle w:val="14"/>
              <w:spacing w:after="0" w:line="240"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Komersial</w:t>
            </w:r>
          </w:p>
        </w:tc>
        <w:tc>
          <w:tcPr>
            <w:tcW w:w="2038" w:type="dxa"/>
            <w:tcBorders>
              <w:top w:val="single" w:color="auto" w:sz="4" w:space="0"/>
            </w:tcBorders>
            <w:vAlign w:val="center"/>
          </w:tcPr>
          <w:p>
            <w:pPr>
              <w:pStyle w:val="14"/>
              <w:spacing w:after="0" w:line="240"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YBS/PKU Muhammadiyah</w:t>
            </w:r>
          </w:p>
        </w:tc>
        <w:tc>
          <w:tcPr>
            <w:tcW w:w="2038" w:type="dxa"/>
            <w:tcBorders>
              <w:top w:val="single" w:color="auto" w:sz="4" w:space="0"/>
            </w:tcBorders>
            <w:vAlign w:val="center"/>
          </w:tcPr>
          <w:p>
            <w:pPr>
              <w:pStyle w:val="14"/>
              <w:spacing w:after="0" w:line="240"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w:t>
            </w:r>
          </w:p>
        </w:tc>
        <w:tc>
          <w:tcPr>
            <w:tcW w:w="2038" w:type="dxa"/>
            <w:tcBorders>
              <w:top w:val="single" w:color="auto" w:sz="4" w:space="0"/>
            </w:tcBorders>
            <w:vAlign w:val="center"/>
          </w:tcPr>
          <w:p>
            <w:pPr>
              <w:pStyle w:val="14"/>
              <w:spacing w:after="0" w:line="240"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39" w:type="dxa"/>
            <w:vAlign w:val="center"/>
          </w:tcPr>
          <w:p>
            <w:pPr>
              <w:pStyle w:val="14"/>
              <w:spacing w:after="0" w:line="240"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Institusi</w:t>
            </w:r>
          </w:p>
          <w:p>
            <w:pPr>
              <w:pStyle w:val="14"/>
              <w:spacing w:after="0" w:line="240"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Pemerintah</w:t>
            </w:r>
          </w:p>
        </w:tc>
        <w:tc>
          <w:tcPr>
            <w:tcW w:w="2038" w:type="dxa"/>
            <w:vAlign w:val="center"/>
          </w:tcPr>
          <w:p>
            <w:pPr>
              <w:pStyle w:val="14"/>
              <w:spacing w:after="0" w:line="240"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w:t>
            </w:r>
          </w:p>
        </w:tc>
        <w:tc>
          <w:tcPr>
            <w:tcW w:w="2038" w:type="dxa"/>
            <w:vAlign w:val="center"/>
          </w:tcPr>
          <w:p>
            <w:pPr>
              <w:pStyle w:val="14"/>
              <w:spacing w:after="0" w:line="240"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Kerukunan kematian di RT/RW</w:t>
            </w:r>
          </w:p>
        </w:tc>
        <w:tc>
          <w:tcPr>
            <w:tcW w:w="2038" w:type="dxa"/>
            <w:vAlign w:val="center"/>
          </w:tcPr>
          <w:p>
            <w:pPr>
              <w:pStyle w:val="14"/>
              <w:spacing w:after="0" w:line="240"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Santunan Kematian</w:t>
            </w:r>
          </w:p>
          <w:p>
            <w:pPr>
              <w:pStyle w:val="14"/>
              <w:spacing w:after="0" w:line="240"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Pemkot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39" w:type="dxa"/>
            <w:tcBorders>
              <w:bottom w:val="single" w:color="auto" w:sz="4" w:space="0"/>
            </w:tcBorders>
            <w:vAlign w:val="center"/>
          </w:tcPr>
          <w:p>
            <w:pPr>
              <w:pStyle w:val="14"/>
              <w:spacing w:after="0" w:line="240"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Institusi</w:t>
            </w:r>
          </w:p>
          <w:p>
            <w:pPr>
              <w:pStyle w:val="14"/>
              <w:spacing w:after="0" w:line="240" w:lineRule="auto"/>
              <w:ind w:left="0"/>
              <w:contextualSpacing w:val="0"/>
              <w:jc w:val="center"/>
              <w:rPr>
                <w:rFonts w:ascii="Times New Roman" w:hAnsi="Times New Roman" w:cs="Times New Roman"/>
                <w:b w:val="0"/>
                <w:bCs/>
                <w:sz w:val="24"/>
                <w:szCs w:val="24"/>
                <w:lang w:val="en-US"/>
              </w:rPr>
            </w:pPr>
            <w:r>
              <w:rPr>
                <w:rFonts w:ascii="Times New Roman" w:hAnsi="Times New Roman" w:cs="Times New Roman"/>
                <w:b w:val="0"/>
                <w:bCs/>
                <w:sz w:val="24"/>
                <w:szCs w:val="24"/>
              </w:rPr>
              <w:t>Reli</w:t>
            </w:r>
            <w:r>
              <w:rPr>
                <w:rFonts w:ascii="Times New Roman" w:hAnsi="Times New Roman" w:cs="Times New Roman"/>
                <w:b w:val="0"/>
                <w:bCs/>
                <w:sz w:val="24"/>
                <w:szCs w:val="24"/>
                <w:lang w:val="en-US"/>
              </w:rPr>
              <w:t>jius</w:t>
            </w:r>
          </w:p>
        </w:tc>
        <w:tc>
          <w:tcPr>
            <w:tcW w:w="2038" w:type="dxa"/>
            <w:tcBorders>
              <w:bottom w:val="single" w:color="auto" w:sz="4" w:space="0"/>
            </w:tcBorders>
            <w:vAlign w:val="center"/>
          </w:tcPr>
          <w:p>
            <w:pPr>
              <w:pStyle w:val="14"/>
              <w:spacing w:after="0" w:line="240"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w:t>
            </w:r>
          </w:p>
        </w:tc>
        <w:tc>
          <w:tcPr>
            <w:tcW w:w="2038" w:type="dxa"/>
            <w:tcBorders>
              <w:bottom w:val="single" w:color="auto" w:sz="4" w:space="0"/>
            </w:tcBorders>
            <w:vAlign w:val="center"/>
          </w:tcPr>
          <w:p>
            <w:pPr>
              <w:pStyle w:val="14"/>
              <w:spacing w:after="0" w:line="240"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Muhammadiyah</w:t>
            </w:r>
          </w:p>
        </w:tc>
        <w:tc>
          <w:tcPr>
            <w:tcW w:w="2038" w:type="dxa"/>
            <w:tcBorders>
              <w:bottom w:val="single" w:color="auto" w:sz="4" w:space="0"/>
            </w:tcBorders>
            <w:vAlign w:val="center"/>
          </w:tcPr>
          <w:p>
            <w:pPr>
              <w:pStyle w:val="14"/>
              <w:spacing w:after="0" w:line="240" w:lineRule="auto"/>
              <w:ind w:left="0"/>
              <w:contextualSpacing w:val="0"/>
              <w:jc w:val="center"/>
              <w:rPr>
                <w:rFonts w:ascii="Times New Roman" w:hAnsi="Times New Roman" w:cs="Times New Roman"/>
                <w:b w:val="0"/>
                <w:bCs/>
                <w:sz w:val="24"/>
                <w:szCs w:val="24"/>
              </w:rPr>
            </w:pPr>
            <w:r>
              <w:rPr>
                <w:rFonts w:ascii="Times New Roman" w:hAnsi="Times New Roman" w:cs="Times New Roman"/>
                <w:b w:val="0"/>
                <w:bCs/>
                <w:sz w:val="24"/>
                <w:szCs w:val="24"/>
              </w:rPr>
              <w:t>Modin</w:t>
            </w:r>
          </w:p>
        </w:tc>
      </w:tr>
    </w:tbl>
    <w:p>
      <w:pPr>
        <w:pStyle w:val="14"/>
        <w:spacing w:after="0" w:line="480" w:lineRule="auto"/>
        <w:ind w:left="142"/>
        <w:jc w:val="both"/>
        <w:rPr>
          <w:rFonts w:ascii="Times New Roman" w:hAnsi="Times New Roman" w:cs="Times New Roman"/>
          <w:b/>
          <w:sz w:val="24"/>
          <w:szCs w:val="24"/>
        </w:rPr>
      </w:pPr>
    </w:p>
    <w:p>
      <w:pPr>
        <w:pStyle w:val="2"/>
        <w:numPr>
          <w:ilvl w:val="0"/>
          <w:numId w:val="1"/>
        </w:numPr>
        <w:spacing w:before="0" w:after="120"/>
        <w:ind w:left="0" w:leftChars="0" w:firstLine="0" w:firstLineChars="0"/>
        <w:rPr>
          <w:rFonts w:ascii="Times New Roman" w:hAnsi="Times New Roman" w:cs="Times New Roman"/>
          <w:b/>
          <w:color w:val="auto"/>
          <w:sz w:val="24"/>
          <w:szCs w:val="24"/>
        </w:rPr>
      </w:pPr>
      <w:r>
        <w:rPr>
          <w:rFonts w:ascii="Times New Roman" w:hAnsi="Times New Roman" w:cs="Times New Roman"/>
          <w:b/>
          <w:color w:val="auto"/>
          <w:sz w:val="24"/>
          <w:szCs w:val="24"/>
        </w:rPr>
        <w:t>KESIMPULAN</w:t>
      </w:r>
    </w:p>
    <w:p>
      <w:pPr>
        <w:pStyle w:val="14"/>
        <w:spacing w:after="120" w:line="432" w:lineRule="auto"/>
        <w:ind w:left="0" w:firstLine="567"/>
        <w:jc w:val="both"/>
        <w:rPr>
          <w:rFonts w:ascii="Times New Roman" w:hAnsi="Times New Roman" w:cs="Times New Roman"/>
          <w:sz w:val="24"/>
          <w:szCs w:val="24"/>
        </w:rPr>
      </w:pPr>
      <w:r>
        <w:rPr>
          <w:rFonts w:ascii="Times New Roman" w:hAnsi="Times New Roman" w:cs="Times New Roman"/>
          <w:sz w:val="24"/>
          <w:szCs w:val="24"/>
        </w:rPr>
        <w:t>Keterkaitan isu pengorganisasian pelayanan kematian dan kesejahteraan kerap diabaikan. Padahal dengan pesatnya urbanisasi yang mengakibatkan komodifikasi dan lunturnya “rasa” sebagai sebuah komunitas, persoalan pengurusan jenazah tak lagi menjadi tanggung jawab institusi lama.</w:t>
      </w:r>
    </w:p>
    <w:p>
      <w:pPr>
        <w:pStyle w:val="14"/>
        <w:spacing w:after="0" w:line="432" w:lineRule="auto"/>
        <w:ind w:left="0" w:firstLine="567"/>
        <w:jc w:val="both"/>
        <w:rPr>
          <w:rFonts w:ascii="Times New Roman" w:hAnsi="Times New Roman" w:cs="Times New Roman"/>
          <w:sz w:val="24"/>
          <w:szCs w:val="24"/>
        </w:rPr>
      </w:pPr>
      <w:r>
        <w:rPr>
          <w:rFonts w:ascii="Times New Roman" w:hAnsi="Times New Roman" w:cs="Times New Roman"/>
          <w:sz w:val="24"/>
          <w:szCs w:val="24"/>
        </w:rPr>
        <w:t>Masyarakat kota yang semakin terkomodifikasi menyebabkan hilangnya solidaritas. Maka, dalam penyelenggaraan pelayanan jenzah memunculkan variasi dan skema kesejahteraan atasnya. Adapun variasi yang muncul adalah komersial, pemerintah dan religius. Sedangka skema kesjahteraan yang muncul adalah model liberal, konservatif-korporatis dan sosial-demokrasi.</w:t>
      </w:r>
    </w:p>
    <w:p>
      <w:pPr>
        <w:pStyle w:val="14"/>
        <w:spacing w:line="240" w:lineRule="auto"/>
        <w:ind w:left="0"/>
        <w:jc w:val="center"/>
        <w:rPr>
          <w:rFonts w:ascii="Times New Roman" w:hAnsi="Times New Roman" w:cs="Times New Roman"/>
          <w:b/>
          <w:sz w:val="24"/>
          <w:szCs w:val="24"/>
        </w:rPr>
      </w:pPr>
    </w:p>
    <w:p>
      <w:pPr>
        <w:pStyle w:val="2"/>
        <w:spacing w:before="0" w:after="12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DAFTAR PUS</w:t>
      </w:r>
      <w:r>
        <w:rPr>
          <w:rFonts w:ascii="Times New Roman" w:hAnsi="Times New Roman" w:cs="Times New Roman"/>
          <w:b/>
          <w:color w:val="auto"/>
          <w:sz w:val="24"/>
          <w:szCs w:val="24"/>
          <w:lang/>
        </w:rPr>
        <w:t>T</w:t>
      </w:r>
      <w:r>
        <w:rPr>
          <w:rFonts w:ascii="Times New Roman" w:hAnsi="Times New Roman" w:cs="Times New Roman"/>
          <w:b/>
          <w:color w:val="auto"/>
          <w:sz w:val="24"/>
          <w:szCs w:val="24"/>
        </w:rPr>
        <w:t>AKA</w:t>
      </w:r>
    </w:p>
    <w:p>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Castells, Manuel. </w:t>
      </w:r>
      <w:r>
        <w:rPr>
          <w:rFonts w:ascii="Times New Roman" w:hAnsi="Times New Roman" w:cs="Times New Roman"/>
          <w:i/>
          <w:sz w:val="24"/>
          <w:szCs w:val="24"/>
          <w:lang w:val="en-US"/>
        </w:rPr>
        <w:t>City, Class and Power</w:t>
      </w:r>
      <w:r>
        <w:rPr>
          <w:rFonts w:ascii="Times New Roman" w:hAnsi="Times New Roman" w:cs="Times New Roman"/>
          <w:sz w:val="24"/>
          <w:szCs w:val="24"/>
          <w:lang w:val="en-US"/>
        </w:rPr>
        <w:t>. Trans. Elizabeth Labas. New York: The Macmillan Press Ltd, 1978.</w:t>
      </w:r>
    </w:p>
    <w:p>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Badan Pusat Statistik. </w:t>
      </w:r>
      <w:r>
        <w:rPr>
          <w:rFonts w:ascii="Times New Roman" w:hAnsi="Times New Roman" w:cs="Times New Roman"/>
          <w:i/>
          <w:sz w:val="24"/>
          <w:szCs w:val="24"/>
          <w:lang w:val="en-US"/>
        </w:rPr>
        <w:t>Kota Yogyakarta Dalam Angka 2015</w:t>
      </w:r>
      <w:r>
        <w:rPr>
          <w:rFonts w:ascii="Times New Roman" w:hAnsi="Times New Roman" w:cs="Times New Roman"/>
          <w:sz w:val="24"/>
          <w:szCs w:val="24"/>
          <w:lang w:val="en-US"/>
        </w:rPr>
        <w:t>. Yogyakarta: BPS, 2015.</w:t>
      </w:r>
    </w:p>
    <w:p>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Pr>
          <w:rFonts w:ascii="Times New Roman" w:hAnsi="Times New Roman" w:cs="Times New Roman"/>
          <w:sz w:val="24"/>
          <w:szCs w:val="24"/>
        </w:rPr>
        <w:t>Geertz, C</w:t>
      </w:r>
      <w:r>
        <w:rPr>
          <w:rFonts w:ascii="Times New Roman" w:hAnsi="Times New Roman" w:cs="Times New Roman"/>
          <w:sz w:val="24"/>
          <w:szCs w:val="24"/>
          <w:lang w:val="en-US"/>
        </w:rPr>
        <w:t>lifford</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Ritual and Social Change: A Javanese Example</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iCs/>
          <w:sz w:val="24"/>
          <w:szCs w:val="24"/>
        </w:rPr>
        <w:t>American Anthropologist</w:t>
      </w:r>
      <w:r>
        <w:rPr>
          <w:rFonts w:ascii="Times New Roman" w:hAnsi="Times New Roman" w:cs="Times New Roman"/>
          <w:sz w:val="24"/>
          <w:szCs w:val="24"/>
          <w:lang w:val="en-US"/>
        </w:rPr>
        <w:t xml:space="preserve"> </w:t>
      </w:r>
      <w:r>
        <w:rPr>
          <w:rFonts w:ascii="Times New Roman" w:hAnsi="Times New Roman" w:cs="Times New Roman"/>
          <w:iCs/>
          <w:sz w:val="24"/>
          <w:szCs w:val="24"/>
          <w:lang w:val="en-US"/>
        </w:rPr>
        <w:t>59, no. 1 (1957)</w:t>
      </w:r>
      <w:r>
        <w:rPr>
          <w:rFonts w:ascii="Times New Roman" w:hAnsi="Times New Roman" w:cs="Times New Roman"/>
          <w:sz w:val="24"/>
          <w:szCs w:val="24"/>
        </w:rPr>
        <w:t>, 32–54.</w:t>
      </w:r>
    </w:p>
    <w:p>
      <w:pPr>
        <w:widowControl w:val="0"/>
        <w:autoSpaceDE w:val="0"/>
        <w:autoSpaceDN w:val="0"/>
        <w:adjustRightInd w:val="0"/>
        <w:spacing w:after="120" w:line="240" w:lineRule="auto"/>
        <w:ind w:left="480" w:hanging="480"/>
        <w:jc w:val="both"/>
        <w:rPr>
          <w:rFonts w:ascii="Times New Roman" w:hAnsi="Times New Roman" w:cs="Times New Roman"/>
          <w:sz w:val="24"/>
          <w:szCs w:val="24"/>
        </w:rPr>
      </w:pPr>
      <w:r>
        <w:rPr>
          <w:rFonts w:ascii="Times New Roman" w:hAnsi="Times New Roman" w:cs="Times New Roman"/>
          <w:sz w:val="24"/>
          <w:szCs w:val="24"/>
          <w:lang w:val="en-US"/>
        </w:rPr>
        <w:t>_____</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Agama Jawa: </w:t>
      </w:r>
      <w:r>
        <w:rPr>
          <w:rFonts w:ascii="Times New Roman" w:hAnsi="Times New Roman" w:cs="Times New Roman"/>
          <w:i/>
          <w:iCs/>
          <w:sz w:val="24"/>
          <w:szCs w:val="24"/>
        </w:rPr>
        <w:t xml:space="preserve">Abangan, Santri dan Priyayi Dalam </w:t>
      </w:r>
      <w:r>
        <w:rPr>
          <w:rFonts w:ascii="Times New Roman" w:hAnsi="Times New Roman" w:cs="Times New Roman"/>
          <w:i/>
          <w:iCs/>
          <w:sz w:val="24"/>
          <w:szCs w:val="24"/>
          <w:lang w:val="en-US"/>
        </w:rPr>
        <w:t xml:space="preserve">Kebudayaan </w:t>
      </w:r>
      <w:r>
        <w:rPr>
          <w:rFonts w:ascii="Times New Roman" w:hAnsi="Times New Roman" w:cs="Times New Roman"/>
          <w:i/>
          <w:iCs/>
          <w:sz w:val="24"/>
          <w:szCs w:val="24"/>
        </w:rPr>
        <w:t>Jawa</w:t>
      </w:r>
      <w:r>
        <w:rPr>
          <w:rFonts w:ascii="Times New Roman" w:hAnsi="Times New Roman" w:cs="Times New Roman"/>
          <w:i/>
          <w:iCs/>
          <w:sz w:val="24"/>
          <w:szCs w:val="24"/>
          <w:lang w:val="en-US"/>
        </w:rPr>
        <w:t xml:space="preserve">. </w:t>
      </w:r>
      <w:r>
        <w:rPr>
          <w:rFonts w:ascii="Times New Roman" w:hAnsi="Times New Roman" w:cs="Times New Roman"/>
          <w:iCs/>
          <w:sz w:val="24"/>
          <w:szCs w:val="24"/>
          <w:lang w:val="en-US"/>
        </w:rPr>
        <w:t>Terj. Aswab Mahasin</w:t>
      </w:r>
      <w:r>
        <w:rPr>
          <w:rFonts w:ascii="Times New Roman" w:hAnsi="Times New Roman" w:cs="Times New Roman"/>
          <w:sz w:val="24"/>
          <w:szCs w:val="24"/>
        </w:rPr>
        <w:t xml:space="preserve">. Jakarta: </w:t>
      </w:r>
      <w:r>
        <w:rPr>
          <w:rFonts w:ascii="Times New Roman" w:hAnsi="Times New Roman" w:cs="Times New Roman"/>
          <w:sz w:val="24"/>
          <w:szCs w:val="24"/>
          <w:lang w:val="en-US"/>
        </w:rPr>
        <w:t>Komunitas Bambu, 2014</w:t>
      </w:r>
      <w:r>
        <w:rPr>
          <w:rFonts w:ascii="Times New Roman" w:hAnsi="Times New Roman" w:cs="Times New Roman"/>
          <w:sz w:val="24"/>
          <w:szCs w:val="24"/>
        </w:rPr>
        <w:t>.</w:t>
      </w:r>
    </w:p>
    <w:p>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r>
        <w:rPr>
          <w:rFonts w:ascii="Times New Roman" w:hAnsi="Times New Roman" w:cs="Times New Roman"/>
          <w:sz w:val="24"/>
          <w:szCs w:val="24"/>
        </w:rPr>
        <w:t>Hakam, S</w:t>
      </w:r>
      <w:r>
        <w:rPr>
          <w:rFonts w:ascii="Times New Roman" w:hAnsi="Times New Roman" w:cs="Times New Roman"/>
          <w:sz w:val="24"/>
          <w:szCs w:val="24"/>
          <w:lang w:val="en-US"/>
        </w:rPr>
        <w:t>aiful</w:t>
      </w:r>
      <w:r>
        <w:rPr>
          <w:rFonts w:ascii="Times New Roman" w:hAnsi="Times New Roman" w:cs="Times New Roman"/>
          <w:sz w:val="24"/>
          <w:szCs w:val="24"/>
        </w:rPr>
        <w:t xml:space="preserve">. </w:t>
      </w:r>
      <w:r>
        <w:rPr>
          <w:rFonts w:ascii="Times New Roman" w:hAnsi="Times New Roman" w:cs="Times New Roman"/>
          <w:i/>
          <w:iCs/>
          <w:sz w:val="24"/>
          <w:szCs w:val="24"/>
        </w:rPr>
        <w:t>Kematian dalam Masyarakat Urban: Perawatan Jenazah oleh Yayasan Bunga Selasih Yogyakarta</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Tesis Master </w:t>
      </w:r>
      <w:r>
        <w:rPr>
          <w:rFonts w:ascii="Times New Roman" w:hAnsi="Times New Roman" w:cs="Times New Roman"/>
          <w:sz w:val="24"/>
          <w:szCs w:val="24"/>
        </w:rPr>
        <w:t>Universitas Gadjah Mada</w:t>
      </w:r>
      <w:r>
        <w:rPr>
          <w:rFonts w:ascii="Times New Roman" w:hAnsi="Times New Roman" w:cs="Times New Roman"/>
          <w:sz w:val="24"/>
          <w:szCs w:val="24"/>
          <w:lang w:val="en-US"/>
        </w:rPr>
        <w:t>, 2011.</w:t>
      </w:r>
    </w:p>
    <w:p>
      <w:pPr>
        <w:widowControl w:val="0"/>
        <w:autoSpaceDE w:val="0"/>
        <w:autoSpaceDN w:val="0"/>
        <w:adjustRightInd w:val="0"/>
        <w:spacing w:after="120" w:line="240" w:lineRule="auto"/>
        <w:ind w:left="480" w:hanging="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Irianto, Joko, Anwar Musadad dan Yuana Wiryawan. “Angka Kematian di Berbagai Propinsi di Indonesia (Riset Riskesdas 2007),” </w:t>
      </w:r>
      <w:r>
        <w:rPr>
          <w:rFonts w:ascii="Times New Roman" w:hAnsi="Times New Roman" w:cs="Times New Roman"/>
          <w:i/>
          <w:sz w:val="24"/>
          <w:szCs w:val="24"/>
          <w:lang w:val="en-US"/>
        </w:rPr>
        <w:t>Jurnal Ekologi Kesehatan</w:t>
      </w:r>
      <w:r>
        <w:rPr>
          <w:rFonts w:ascii="Times New Roman" w:hAnsi="Times New Roman" w:cs="Times New Roman"/>
          <w:sz w:val="24"/>
          <w:szCs w:val="24"/>
          <w:lang w:val="en-US"/>
        </w:rPr>
        <w:t xml:space="preserve"> 8 no. 8 (2009), 1047-1056.</w:t>
      </w:r>
    </w:p>
    <w:p>
      <w:pPr>
        <w:widowControl w:val="0"/>
        <w:autoSpaceDE w:val="0"/>
        <w:autoSpaceDN w:val="0"/>
        <w:adjustRightInd w:val="0"/>
        <w:spacing w:after="120" w:line="240" w:lineRule="auto"/>
        <w:ind w:left="482" w:hanging="482"/>
        <w:jc w:val="both"/>
        <w:rPr>
          <w:rFonts w:ascii="Times New Roman" w:hAnsi="Times New Roman" w:cs="Times New Roman"/>
          <w:sz w:val="24"/>
          <w:szCs w:val="24"/>
          <w:lang w:val="en-US"/>
        </w:rPr>
      </w:pPr>
      <w:r>
        <w:rPr>
          <w:rFonts w:ascii="Times New Roman" w:hAnsi="Times New Roman" w:cs="Times New Roman"/>
          <w:sz w:val="24"/>
          <w:szCs w:val="24"/>
        </w:rPr>
        <w:t>Valentine</w:t>
      </w:r>
      <w:r>
        <w:rPr>
          <w:rFonts w:ascii="Times New Roman" w:hAnsi="Times New Roman" w:cs="Times New Roman"/>
          <w:sz w:val="24"/>
          <w:szCs w:val="24"/>
          <w:lang w:val="en-US"/>
        </w:rPr>
        <w:t>,</w:t>
      </w:r>
      <w:r>
        <w:rPr>
          <w:rFonts w:ascii="Times New Roman" w:hAnsi="Times New Roman" w:cs="Times New Roman"/>
          <w:sz w:val="24"/>
          <w:szCs w:val="24"/>
        </w:rPr>
        <w:t xml:space="preserve"> Christine and Kate Woodthorpe</w:t>
      </w:r>
      <w:r>
        <w:rPr>
          <w:rFonts w:ascii="Times New Roman" w:hAnsi="Times New Roman" w:cs="Times New Roman"/>
          <w:sz w:val="24"/>
          <w:szCs w:val="24"/>
          <w:lang w:val="en-US"/>
        </w:rPr>
        <w:t>.</w:t>
      </w:r>
      <w:r>
        <w:rPr>
          <w:rFonts w:ascii="Times New Roman" w:hAnsi="Times New Roman" w:cs="Times New Roman"/>
          <w:sz w:val="24"/>
          <w:szCs w:val="24"/>
        </w:rPr>
        <w:t xml:space="preserve"> “From the Cradle to the Grave: Funeral Welfare from an International Perspective”, </w:t>
      </w:r>
      <w:r>
        <w:rPr>
          <w:rFonts w:ascii="Times New Roman" w:hAnsi="Times New Roman" w:cs="Times New Roman"/>
          <w:i/>
          <w:sz w:val="24"/>
          <w:szCs w:val="24"/>
        </w:rPr>
        <w:t>Social Policy and Administration</w:t>
      </w:r>
      <w:r>
        <w:rPr>
          <w:rFonts w:ascii="Times New Roman" w:hAnsi="Times New Roman" w:cs="Times New Roman"/>
          <w:sz w:val="24"/>
          <w:szCs w:val="24"/>
        </w:rPr>
        <w:t xml:space="preserve"> 48 no. 5</w:t>
      </w:r>
      <w:r>
        <w:rPr>
          <w:rFonts w:ascii="Times New Roman" w:hAnsi="Times New Roman" w:cs="Times New Roman"/>
          <w:sz w:val="24"/>
          <w:szCs w:val="24"/>
          <w:lang w:val="en-US"/>
        </w:rPr>
        <w:t xml:space="preserve"> (</w:t>
      </w:r>
      <w:r>
        <w:rPr>
          <w:rFonts w:ascii="Times New Roman" w:hAnsi="Times New Roman" w:cs="Times New Roman"/>
          <w:sz w:val="24"/>
          <w:szCs w:val="24"/>
        </w:rPr>
        <w:t>2014</w:t>
      </w:r>
      <w:r>
        <w:rPr>
          <w:rFonts w:ascii="Times New Roman" w:hAnsi="Times New Roman" w:cs="Times New Roman"/>
          <w:sz w:val="24"/>
          <w:szCs w:val="24"/>
          <w:lang w:val="en-US"/>
        </w:rPr>
        <w:t>)</w:t>
      </w:r>
      <w:r>
        <w:rPr>
          <w:rFonts w:ascii="Times New Roman" w:hAnsi="Times New Roman" w:cs="Times New Roman"/>
          <w:sz w:val="24"/>
          <w:szCs w:val="24"/>
        </w:rPr>
        <w:t>, 515–536</w:t>
      </w:r>
      <w:r>
        <w:rPr>
          <w:rFonts w:ascii="Times New Roman" w:hAnsi="Times New Roman" w:cs="Times New Roman"/>
          <w:sz w:val="24"/>
          <w:szCs w:val="24"/>
          <w:lang w:val="en-US"/>
        </w:rPr>
        <w:t>.</w:t>
      </w:r>
    </w:p>
    <w:p>
      <w:pPr>
        <w:widowControl w:val="0"/>
        <w:autoSpaceDE w:val="0"/>
        <w:autoSpaceDN w:val="0"/>
        <w:adjustRightInd w:val="0"/>
        <w:spacing w:after="120" w:line="240" w:lineRule="auto"/>
        <w:ind w:left="482" w:hanging="482"/>
        <w:jc w:val="both"/>
        <w:rPr>
          <w:rFonts w:ascii="Times New Roman" w:hAnsi="Times New Roman" w:cs="Times New Roman"/>
          <w:sz w:val="24"/>
          <w:lang w:val="en-US"/>
        </w:rPr>
      </w:pPr>
      <w:r>
        <w:rPr>
          <w:rFonts w:ascii="Times New Roman" w:hAnsi="Times New Roman" w:cs="Times New Roman"/>
          <w:sz w:val="24"/>
          <w:szCs w:val="24"/>
        </w:rPr>
        <w:t xml:space="preserve">Walter, T. </w:t>
      </w:r>
      <w:r>
        <w:rPr>
          <w:rFonts w:ascii="Times New Roman" w:hAnsi="Times New Roman" w:cs="Times New Roman"/>
          <w:sz w:val="24"/>
          <w:szCs w:val="24"/>
          <w:lang w:val="en-US"/>
        </w:rPr>
        <w:t>"</w:t>
      </w:r>
      <w:r>
        <w:rPr>
          <w:rFonts w:ascii="Times New Roman" w:hAnsi="Times New Roman" w:cs="Times New Roman"/>
          <w:sz w:val="24"/>
          <w:szCs w:val="24"/>
        </w:rPr>
        <w:t>Three ways to arrange a funeral: Mortuary variation in the modern West</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iCs/>
          <w:sz w:val="24"/>
          <w:szCs w:val="24"/>
        </w:rPr>
        <w:t>Mortality</w:t>
      </w:r>
      <w:r>
        <w:rPr>
          <w:rFonts w:ascii="Times New Roman" w:hAnsi="Times New Roman" w:cs="Times New Roman"/>
          <w:sz w:val="24"/>
          <w:szCs w:val="24"/>
          <w:lang w:val="en-US"/>
        </w:rPr>
        <w:t xml:space="preserve"> </w:t>
      </w:r>
      <w:r>
        <w:rPr>
          <w:rFonts w:ascii="Times New Roman" w:hAnsi="Times New Roman" w:cs="Times New Roman"/>
          <w:iCs/>
          <w:sz w:val="24"/>
          <w:szCs w:val="24"/>
        </w:rPr>
        <w:t>10</w:t>
      </w:r>
      <w:r>
        <w:rPr>
          <w:rFonts w:ascii="Times New Roman" w:hAnsi="Times New Roman" w:cs="Times New Roman"/>
          <w:iCs/>
          <w:sz w:val="24"/>
          <w:szCs w:val="24"/>
          <w:lang w:val="en-US"/>
        </w:rPr>
        <w:t xml:space="preserve"> no</w:t>
      </w:r>
      <w:r>
        <w:rPr>
          <w:rFonts w:ascii="Times New Roman" w:hAnsi="Times New Roman" w:cs="Times New Roman"/>
          <w:i/>
          <w:iCs/>
          <w:sz w:val="24"/>
          <w:szCs w:val="24"/>
          <w:lang w:val="en-US"/>
        </w:rPr>
        <w:t xml:space="preserve">. </w:t>
      </w:r>
      <w:r>
        <w:rPr>
          <w:rFonts w:ascii="Times New Roman" w:hAnsi="Times New Roman" w:cs="Times New Roman"/>
          <w:sz w:val="24"/>
          <w:szCs w:val="24"/>
        </w:rPr>
        <w:t>3 (2005)</w:t>
      </w:r>
      <w:r>
        <w:rPr>
          <w:rFonts w:ascii="Times New Roman" w:hAnsi="Times New Roman" w:cs="Times New Roman"/>
          <w:sz w:val="24"/>
          <w:szCs w:val="24"/>
          <w:lang w:val="en-US"/>
        </w:rPr>
        <w:t>:</w:t>
      </w:r>
      <w:r>
        <w:rPr>
          <w:rFonts w:ascii="Times New Roman" w:hAnsi="Times New Roman" w:cs="Times New Roman"/>
          <w:sz w:val="24"/>
          <w:szCs w:val="24"/>
        </w:rPr>
        <w:t xml:space="preserve"> 37–41</w:t>
      </w:r>
      <w:r>
        <w:rPr>
          <w:rFonts w:ascii="Times New Roman" w:hAnsi="Times New Roman" w:cs="Times New Roman"/>
          <w:sz w:val="24"/>
          <w:szCs w:val="24"/>
          <w:lang w:val="en-US"/>
        </w:rPr>
        <w:t>.</w:t>
      </w:r>
    </w:p>
    <w:p>
      <w:pPr>
        <w:pStyle w:val="2"/>
        <w:spacing w:before="0" w:after="120" w:line="240" w:lineRule="auto"/>
        <w:rPr>
          <w:rFonts w:ascii="Times New Roman" w:hAnsi="Times New Roman" w:cs="Times New Roman"/>
          <w:b/>
          <w:color w:val="auto"/>
          <w:sz w:val="24"/>
          <w:szCs w:val="24"/>
          <w:lang w:val="en-US"/>
        </w:rPr>
      </w:pPr>
      <w:r>
        <w:fldChar w:fldCharType="end"/>
      </w:r>
      <w:r>
        <w:rPr>
          <w:rFonts w:ascii="Times New Roman" w:hAnsi="Times New Roman" w:cs="Times New Roman"/>
          <w:b/>
          <w:color w:val="auto"/>
          <w:sz w:val="24"/>
          <w:szCs w:val="24"/>
          <w:lang w:val="en-US"/>
        </w:rPr>
        <w:t>Sumber Lain :</w:t>
      </w:r>
    </w:p>
    <w:p>
      <w:pPr>
        <w:pStyle w:val="14"/>
        <w:spacing w:after="120" w:line="240" w:lineRule="auto"/>
        <w:ind w:left="567" w:hanging="567"/>
        <w:jc w:val="both"/>
        <w:rPr>
          <w:rFonts w:ascii="Times New Roman" w:hAnsi="Times New Roman" w:cs="Times New Roman"/>
          <w:b/>
          <w:sz w:val="24"/>
          <w:szCs w:val="24"/>
          <w:lang w:val="en-US"/>
        </w:rPr>
      </w:pPr>
      <w:r>
        <w:rPr>
          <w:rFonts w:ascii="Times New Roman" w:hAnsi="Times New Roman" w:cs="Times New Roman"/>
          <w:sz w:val="24"/>
          <w:szCs w:val="24"/>
          <w:lang w:val="en-US"/>
        </w:rPr>
        <w:t>Antaranews, “</w:t>
      </w:r>
      <w:r>
        <w:rPr>
          <w:rFonts w:ascii="Times New Roman" w:hAnsi="Times New Roman" w:cs="Times New Roman"/>
          <w:sz w:val="24"/>
          <w:szCs w:val="24"/>
        </w:rPr>
        <w:t>Realisasi santunan kematian Yogyakarta capai 75 persen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fldChar w:fldCharType="begin"/>
      </w:r>
      <w:r>
        <w:instrText xml:space="preserve"> HYPERLINK "http://www.antaranews.com/berita/520862/realisasi-santunan-kematian-yogyakarta-capai-75-persen" </w:instrText>
      </w:r>
      <w:r>
        <w:fldChar w:fldCharType="separate"/>
      </w:r>
      <w:r>
        <w:rPr>
          <w:rStyle w:val="11"/>
          <w:rFonts w:ascii="Times New Roman" w:hAnsi="Times New Roman" w:cs="Times New Roman"/>
          <w:color w:val="auto"/>
          <w:sz w:val="24"/>
          <w:szCs w:val="24"/>
          <w:u w:val="none"/>
        </w:rPr>
        <w:t>http://www.antaranews.com/berita/520862/realisasi-santunan-kematian-yogyakarta-capai-75-persen</w:t>
      </w:r>
      <w:r>
        <w:rPr>
          <w:rStyle w:val="11"/>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w:t>
      </w:r>
      <w:r>
        <w:rPr>
          <w:rFonts w:ascii="Times New Roman" w:hAnsi="Times New Roman" w:cs="Times New Roman"/>
          <w:sz w:val="24"/>
          <w:szCs w:val="24"/>
          <w:lang w:val="en-US"/>
        </w:rPr>
        <w:t>(D</w:t>
      </w:r>
      <w:r>
        <w:rPr>
          <w:rFonts w:ascii="Times New Roman" w:hAnsi="Times New Roman" w:cs="Times New Roman"/>
          <w:sz w:val="24"/>
          <w:szCs w:val="24"/>
        </w:rPr>
        <w:t>iakses tanggl 21 Desember 2015</w:t>
      </w:r>
      <w:r>
        <w:rPr>
          <w:rFonts w:ascii="Times New Roman" w:hAnsi="Times New Roman" w:cs="Times New Roman"/>
          <w:sz w:val="24"/>
          <w:szCs w:val="24"/>
          <w:lang w:val="en-US"/>
        </w:rPr>
        <w:t>)</w:t>
      </w:r>
      <w:r>
        <w:rPr>
          <w:rFonts w:ascii="Times New Roman" w:hAnsi="Times New Roman" w:cs="Times New Roman"/>
          <w:sz w:val="24"/>
          <w:szCs w:val="24"/>
        </w:rPr>
        <w:t>.</w:t>
      </w:r>
    </w:p>
    <w:p>
      <w:pPr>
        <w:spacing w:after="120" w:line="240" w:lineRule="auto"/>
        <w:ind w:left="567" w:hanging="567"/>
        <w:rPr>
          <w:rFonts w:ascii="Times New Roman" w:hAnsi="Times New Roman" w:cs="Times New Roman"/>
          <w:sz w:val="24"/>
          <w:szCs w:val="24"/>
        </w:rPr>
      </w:pPr>
      <w:r>
        <w:rPr>
          <w:rFonts w:ascii="Times New Roman" w:hAnsi="Times New Roman" w:eastAsia="Times New Roman" w:cs="Times New Roman"/>
          <w:sz w:val="24"/>
          <w:szCs w:val="24"/>
          <w:lang w:val="en-US"/>
        </w:rPr>
        <w:t xml:space="preserve">“Biaya Kematian Itu Berapa”, </w:t>
      </w:r>
      <w:r>
        <w:fldChar w:fldCharType="begin"/>
      </w:r>
      <w:r>
        <w:instrText xml:space="preserve"> HYPERLINK "http://jagongan.org/2014/10/27/biaya-kematian-itu-berapa/" </w:instrText>
      </w:r>
      <w:r>
        <w:fldChar w:fldCharType="separate"/>
      </w:r>
      <w:r>
        <w:rPr>
          <w:rStyle w:val="11"/>
          <w:rFonts w:ascii="Times New Roman" w:hAnsi="Times New Roman" w:cs="Times New Roman"/>
          <w:color w:val="auto"/>
          <w:sz w:val="24"/>
          <w:szCs w:val="24"/>
          <w:u w:val="none"/>
        </w:rPr>
        <w:t>http://jagongan.org/2014/10/27/biaya-kematian-itu-berapa/</w:t>
      </w:r>
      <w:r>
        <w:rPr>
          <w:rStyle w:val="11"/>
          <w:rFonts w:ascii="Times New Roman" w:hAnsi="Times New Roman" w:cs="Times New Roman"/>
          <w:color w:val="auto"/>
          <w:sz w:val="24"/>
          <w:szCs w:val="24"/>
          <w:u w:val="none"/>
        </w:rPr>
        <w:fldChar w:fldCharType="end"/>
      </w:r>
      <w:r>
        <w:rPr>
          <w:rStyle w:val="11"/>
          <w:rFonts w:ascii="Times New Roman" w:hAnsi="Times New Roman" w:cs="Times New Roman"/>
          <w:color w:val="auto"/>
          <w:sz w:val="24"/>
          <w:szCs w:val="24"/>
          <w:u w:val="none"/>
          <w:lang w:val="en-US"/>
        </w:rPr>
        <w:t>, (diakses tanggal 15 Desember 2015).</w:t>
      </w:r>
    </w:p>
    <w:sectPr>
      <w:footerReference r:id="rId4" w:type="default"/>
      <w:pgSz w:w="11906" w:h="16838"/>
      <w:pgMar w:top="1440" w:right="1800" w:bottom="1440" w:left="180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auto"/>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7164794"/>
      <w:docPartObj>
        <w:docPartGallery w:val="AutoText"/>
      </w:docPartObj>
    </w:sdtPr>
    <w:sdtEndPr>
      <w:rPr>
        <w:rFonts w:ascii="Times New Roman" w:hAnsi="Times New Roman" w:cs="Times New Roman"/>
      </w:rPr>
    </w:sdtEndPr>
    <w:sdtContent>
      <w:p>
        <w:pPr>
          <w:pStyle w:val="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rPr>
          <w:rFonts w:ascii="Times New Roman" w:hAnsi="Times New Roman" w:cs="Times New Roman"/>
          <w:lang w:val="en-US"/>
        </w:rPr>
      </w:pPr>
      <w:r>
        <w:rPr>
          <w:rStyle w:val="10"/>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 xml:space="preserve">Clifford Geertz, “Ritual and Social Change: A Javanese Example,” </w:t>
      </w:r>
      <w:r>
        <w:rPr>
          <w:rFonts w:ascii="Times New Roman" w:hAnsi="Times New Roman" w:cs="Times New Roman"/>
          <w:i/>
          <w:lang w:val="en-US"/>
        </w:rPr>
        <w:t xml:space="preserve">American Anthropologist </w:t>
      </w:r>
      <w:r>
        <w:rPr>
          <w:rFonts w:ascii="Times New Roman" w:hAnsi="Times New Roman" w:cs="Times New Roman"/>
          <w:lang w:val="en-US"/>
        </w:rPr>
        <w:t>59 no. 1 (1957): 32–54.</w:t>
      </w:r>
    </w:p>
  </w:footnote>
  <w:footnote w:id="1">
    <w:p>
      <w:pPr>
        <w:pStyle w:val="6"/>
        <w:rPr>
          <w:rFonts w:ascii="Times New Roman" w:hAnsi="Times New Roman" w:cs="Times New Roman"/>
          <w:lang w:val="en-US"/>
        </w:rPr>
      </w:pPr>
      <w:r>
        <w:rPr>
          <w:rStyle w:val="10"/>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 xml:space="preserve">Tony Walter, “Three Ways to Arrange a Funeral: Mortuary Variation in the Modern West,” </w:t>
      </w:r>
      <w:r>
        <w:rPr>
          <w:rFonts w:ascii="Times New Roman" w:hAnsi="Times New Roman" w:cs="Times New Roman"/>
          <w:i/>
          <w:lang w:val="en-US"/>
        </w:rPr>
        <w:t>Mortality</w:t>
      </w:r>
      <w:r>
        <w:rPr>
          <w:rFonts w:ascii="Times New Roman" w:hAnsi="Times New Roman" w:cs="Times New Roman"/>
          <w:lang w:val="en-US"/>
        </w:rPr>
        <w:t xml:space="preserve"> 10 no. 3 (2005): 173-192. </w:t>
      </w:r>
    </w:p>
  </w:footnote>
  <w:footnote w:id="2">
    <w:p>
      <w:pPr>
        <w:pStyle w:val="6"/>
        <w:rPr>
          <w:lang w:val="en-US"/>
        </w:rPr>
      </w:pPr>
      <w:r>
        <w:rPr>
          <w:rStyle w:val="10"/>
        </w:rPr>
        <w:footnoteRef/>
      </w:r>
      <w:r>
        <w:t xml:space="preserve"> </w:t>
      </w:r>
      <w:r>
        <w:rPr>
          <w:rFonts w:ascii="Times New Roman" w:hAnsi="Times New Roman" w:cs="Times New Roman"/>
          <w:lang w:val="en-US"/>
        </w:rPr>
        <w:t xml:space="preserve">Clifford Geertz, </w:t>
      </w:r>
      <w:r>
        <w:rPr>
          <w:rFonts w:ascii="Times New Roman" w:hAnsi="Times New Roman" w:cs="Times New Roman"/>
          <w:i/>
          <w:lang w:val="en-US"/>
        </w:rPr>
        <w:t xml:space="preserve">Agama Jawa: Abangan, Santri dan Priyayi dalam Kebudayaan Jawa </w:t>
      </w:r>
      <w:r>
        <w:rPr>
          <w:rFonts w:ascii="Times New Roman" w:hAnsi="Times New Roman" w:cs="Times New Roman"/>
          <w:lang w:val="en-US"/>
        </w:rPr>
        <w:t>terj. Aswab Mahasin cet.II (Jakarta: Komunitas Bambu, 2014), 3.</w:t>
      </w:r>
    </w:p>
  </w:footnote>
  <w:footnote w:id="3">
    <w:p>
      <w:pPr>
        <w:pStyle w:val="6"/>
        <w:rPr>
          <w:rFonts w:ascii="Times New Roman" w:hAnsi="Times New Roman" w:cs="Times New Roman"/>
          <w:lang w:val="en-US"/>
        </w:rPr>
      </w:pPr>
      <w:r>
        <w:rPr>
          <w:rStyle w:val="10"/>
          <w:rFonts w:ascii="Times New Roman" w:hAnsi="Times New Roman" w:cs="Times New Roman"/>
        </w:rPr>
        <w:footnoteRef/>
      </w:r>
      <w:r>
        <w:rPr>
          <w:rFonts w:ascii="Times New Roman" w:hAnsi="Times New Roman" w:cs="Times New Roman"/>
        </w:rPr>
        <w:t xml:space="preserve"> Clifford Geertz, “Ritual and Social Change: A Javanese Example,”</w:t>
      </w:r>
      <w:r>
        <w:rPr>
          <w:rFonts w:ascii="Times New Roman" w:hAnsi="Times New Roman" w:cs="Times New Roman"/>
          <w:lang w:val="en-US"/>
        </w:rPr>
        <w:t>: 40.</w:t>
      </w:r>
    </w:p>
  </w:footnote>
  <w:footnote w:id="4">
    <w:p>
      <w:pPr>
        <w:pStyle w:val="6"/>
        <w:rPr>
          <w:lang w:val="en-US"/>
        </w:rPr>
      </w:pPr>
      <w:r>
        <w:rPr>
          <w:rStyle w:val="10"/>
        </w:rPr>
        <w:footnoteRef/>
      </w:r>
      <w:r>
        <w:t xml:space="preserve"> </w:t>
      </w:r>
      <w:r>
        <w:rPr>
          <w:rFonts w:ascii="Times New Roman" w:hAnsi="Times New Roman" w:cs="Times New Roman"/>
          <w:lang w:val="en-US"/>
        </w:rPr>
        <w:t>Saiful Hakam,</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Kematian dalam Masyarakat Urban: Perawatan Jenazah oleh Yayasan Bunga Selasih Yogyakarta</w:t>
      </w:r>
      <w:r>
        <w:rPr>
          <w:rFonts w:ascii="Times New Roman" w:hAnsi="Times New Roman" w:cs="Times New Roman"/>
          <w:lang w:val="en-US"/>
        </w:rPr>
        <w:t>”, (Tesis Master,</w:t>
      </w:r>
      <w:r>
        <w:rPr>
          <w:rFonts w:ascii="Times New Roman" w:hAnsi="Times New Roman" w:cs="Times New Roman"/>
        </w:rPr>
        <w:t xml:space="preserve"> Universitas Gadjah Mada</w:t>
      </w:r>
      <w:r>
        <w:rPr>
          <w:rFonts w:ascii="Times New Roman" w:hAnsi="Times New Roman" w:cs="Times New Roman"/>
          <w:lang w:val="en-US"/>
        </w:rPr>
        <w:t>, 2011), 120</w:t>
      </w:r>
      <w:r>
        <w:rPr>
          <w:rFonts w:ascii="Times New Roman" w:hAnsi="Times New Roman" w:cs="Times New Roman"/>
        </w:rPr>
        <w:t>.</w:t>
      </w:r>
    </w:p>
  </w:footnote>
  <w:footnote w:id="5">
    <w:p>
      <w:pPr>
        <w:pStyle w:val="6"/>
        <w:rPr>
          <w:lang w:val="en-US"/>
        </w:rPr>
      </w:pPr>
      <w:r>
        <w:rPr>
          <w:rStyle w:val="10"/>
        </w:rPr>
        <w:footnoteRef/>
      </w:r>
      <w:r>
        <w:t xml:space="preserve"> </w:t>
      </w:r>
      <w:r>
        <w:rPr>
          <w:rFonts w:ascii="Times New Roman" w:hAnsi="Times New Roman" w:cs="Times New Roman"/>
          <w:lang w:val="en-US"/>
        </w:rPr>
        <w:t>Tony Walter, “Three Ways to Arrange a Funeral: Mortuary Variation in the Modern West,”: 187.</w:t>
      </w:r>
    </w:p>
  </w:footnote>
  <w:footnote w:id="6">
    <w:p>
      <w:pPr>
        <w:pStyle w:val="6"/>
        <w:rPr>
          <w:rFonts w:ascii="Times New Roman" w:hAnsi="Times New Roman" w:cs="Times New Roman"/>
          <w:i/>
          <w:lang w:val="en-US"/>
        </w:rPr>
      </w:pPr>
      <w:r>
        <w:rPr>
          <w:rStyle w:val="10"/>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en-US"/>
        </w:rPr>
        <w:t>Ibid., 182</w:t>
      </w:r>
    </w:p>
  </w:footnote>
  <w:footnote w:id="7">
    <w:p>
      <w:pPr>
        <w:pStyle w:val="6"/>
        <w:rPr>
          <w:lang w:val="en-US"/>
        </w:rPr>
      </w:pPr>
      <w:r>
        <w:rPr>
          <w:rStyle w:val="10"/>
        </w:rPr>
        <w:footnoteRef/>
      </w:r>
      <w:r>
        <w:t xml:space="preserve"> </w:t>
      </w:r>
      <w:r>
        <w:rPr>
          <w:rFonts w:ascii="Times New Roman" w:hAnsi="Times New Roman" w:cs="Times New Roman"/>
          <w:lang w:val="en-US"/>
        </w:rPr>
        <w:t xml:space="preserve">Manuel Castells, </w:t>
      </w:r>
      <w:r>
        <w:rPr>
          <w:rFonts w:ascii="Times New Roman" w:hAnsi="Times New Roman" w:cs="Times New Roman"/>
          <w:i/>
          <w:lang w:val="en-US"/>
        </w:rPr>
        <w:t xml:space="preserve">City, Class and Power </w:t>
      </w:r>
      <w:r>
        <w:rPr>
          <w:rFonts w:ascii="Times New Roman" w:hAnsi="Times New Roman" w:cs="Times New Roman"/>
          <w:lang w:val="en-US"/>
        </w:rPr>
        <w:t>trans. Elizabeth Labas (New York: The Macmillan Press Ltd, 1978), 16-17.</w:t>
      </w:r>
    </w:p>
  </w:footnote>
  <w:footnote w:id="8">
    <w:p>
      <w:pPr>
        <w:pStyle w:val="6"/>
        <w:rPr>
          <w:lang w:val="en-US"/>
        </w:rPr>
      </w:pPr>
      <w:r>
        <w:rPr>
          <w:rStyle w:val="10"/>
        </w:rPr>
        <w:footnoteRef/>
      </w:r>
      <w:r>
        <w:t xml:space="preserve"> </w:t>
      </w:r>
      <w:r>
        <w:rPr>
          <w:rFonts w:ascii="Times New Roman" w:hAnsi="Times New Roman" w:cs="Times New Roman"/>
        </w:rPr>
        <w:t xml:space="preserve">Christine Valentine </w:t>
      </w:r>
      <w:r>
        <w:rPr>
          <w:rFonts w:ascii="Times New Roman" w:hAnsi="Times New Roman" w:cs="Times New Roman"/>
          <w:lang w:val="en-US"/>
        </w:rPr>
        <w:t xml:space="preserve">and </w:t>
      </w:r>
      <w:r>
        <w:rPr>
          <w:rFonts w:ascii="Times New Roman" w:hAnsi="Times New Roman" w:cs="Times New Roman"/>
        </w:rPr>
        <w:t>Kate Woodthorpe</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 xml:space="preserve">From the </w:t>
      </w:r>
      <w:r>
        <w:rPr>
          <w:rFonts w:ascii="Times New Roman" w:hAnsi="Times New Roman" w:cs="Times New Roman"/>
          <w:lang w:val="en-US"/>
        </w:rPr>
        <w:t>C</w:t>
      </w:r>
      <w:r>
        <w:rPr>
          <w:rFonts w:ascii="Times New Roman" w:hAnsi="Times New Roman" w:cs="Times New Roman"/>
        </w:rPr>
        <w:t xml:space="preserve">radle to the </w:t>
      </w:r>
      <w:r>
        <w:rPr>
          <w:rFonts w:ascii="Times New Roman" w:hAnsi="Times New Roman" w:cs="Times New Roman"/>
          <w:lang w:val="en-US"/>
        </w:rPr>
        <w:t>G</w:t>
      </w:r>
      <w:r>
        <w:rPr>
          <w:rFonts w:ascii="Times New Roman" w:hAnsi="Times New Roman" w:cs="Times New Roman"/>
        </w:rPr>
        <w:t xml:space="preserve">rave: Funeral </w:t>
      </w:r>
      <w:r>
        <w:rPr>
          <w:rFonts w:ascii="Times New Roman" w:hAnsi="Times New Roman" w:cs="Times New Roman"/>
          <w:lang w:val="en-US"/>
        </w:rPr>
        <w:t>W</w:t>
      </w:r>
      <w:r>
        <w:rPr>
          <w:rFonts w:ascii="Times New Roman" w:hAnsi="Times New Roman" w:cs="Times New Roman"/>
        </w:rPr>
        <w:t xml:space="preserve">elfare from an </w:t>
      </w:r>
      <w:r>
        <w:rPr>
          <w:rFonts w:ascii="Times New Roman" w:hAnsi="Times New Roman" w:cs="Times New Roman"/>
          <w:lang w:val="en-US"/>
        </w:rPr>
        <w:t>I</w:t>
      </w:r>
      <w:r>
        <w:rPr>
          <w:rFonts w:ascii="Times New Roman" w:hAnsi="Times New Roman" w:cs="Times New Roman"/>
        </w:rPr>
        <w:t xml:space="preserve">nternational </w:t>
      </w:r>
      <w:r>
        <w:rPr>
          <w:rFonts w:ascii="Times New Roman" w:hAnsi="Times New Roman" w:cs="Times New Roman"/>
          <w:lang w:val="en-US"/>
        </w:rPr>
        <w:t>P</w:t>
      </w:r>
      <w:r>
        <w:rPr>
          <w:rFonts w:ascii="Times New Roman" w:hAnsi="Times New Roman" w:cs="Times New Roman"/>
        </w:rPr>
        <w:t>erspective</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i/>
        </w:rPr>
        <w:t>Social Policy and Administration</w:t>
      </w:r>
      <w:r>
        <w:rPr>
          <w:rFonts w:ascii="Times New Roman" w:hAnsi="Times New Roman" w:cs="Times New Roman"/>
        </w:rPr>
        <w:t xml:space="preserve"> 48</w:t>
      </w:r>
      <w:r>
        <w:rPr>
          <w:rFonts w:ascii="Times New Roman" w:hAnsi="Times New Roman" w:cs="Times New Roman"/>
          <w:lang w:val="en-US"/>
        </w:rPr>
        <w:t xml:space="preserve"> no. </w:t>
      </w:r>
      <w:r>
        <w:rPr>
          <w:rFonts w:ascii="Times New Roman" w:hAnsi="Times New Roman" w:cs="Times New Roman"/>
        </w:rPr>
        <w:t>5</w:t>
      </w:r>
      <w:r>
        <w:rPr>
          <w:rFonts w:ascii="Times New Roman" w:hAnsi="Times New Roman" w:cs="Times New Roman"/>
          <w:lang w:val="en-US"/>
        </w:rPr>
        <w:t xml:space="preserve"> (2014)</w:t>
      </w:r>
      <w:r>
        <w:rPr>
          <w:rFonts w:ascii="Times New Roman" w:hAnsi="Times New Roman" w:cs="Times New Roman"/>
        </w:rPr>
        <w:t>, 515–536.</w:t>
      </w:r>
    </w:p>
  </w:footnote>
  <w:footnote w:id="9">
    <w:p>
      <w:pPr>
        <w:pStyle w:val="6"/>
        <w:rPr>
          <w:rFonts w:ascii="Times New Roman" w:hAnsi="Times New Roman" w:cs="Times New Roman"/>
          <w:lang w:val="en-US"/>
        </w:rPr>
      </w:pPr>
      <w:r>
        <w:rPr>
          <w:rStyle w:val="10"/>
        </w:rPr>
        <w:footnoteRef/>
      </w:r>
      <w:r>
        <w:t xml:space="preserve"> </w:t>
      </w:r>
      <w:r>
        <w:rPr>
          <w:rFonts w:ascii="Times New Roman" w:hAnsi="Times New Roman" w:cs="Times New Roman"/>
          <w:lang w:val="en-US"/>
        </w:rPr>
        <w:t xml:space="preserve">Joko Irianto, Anwar Musadad dan Yuana Wiryawan, “Angka Kematian di Berbagai Propinsi di Indonesia (Riset Riskesdas 2007),” </w:t>
      </w:r>
      <w:r>
        <w:rPr>
          <w:rFonts w:ascii="Times New Roman" w:hAnsi="Times New Roman" w:cs="Times New Roman"/>
          <w:i/>
          <w:lang w:val="en-US"/>
        </w:rPr>
        <w:t xml:space="preserve">Jurnal Ekologi Kesehatan </w:t>
      </w:r>
      <w:r>
        <w:rPr>
          <w:rFonts w:ascii="Times New Roman" w:hAnsi="Times New Roman" w:cs="Times New Roman"/>
          <w:lang w:val="en-US"/>
        </w:rPr>
        <w:t>8 no. 8 (2009), 1054</w:t>
      </w:r>
    </w:p>
  </w:footnote>
  <w:footnote w:id="10">
    <w:p>
      <w:pPr>
        <w:pStyle w:val="6"/>
        <w:jc w:val="both"/>
        <w:rPr>
          <w:rFonts w:ascii="Times New Roman" w:hAnsi="Times New Roman" w:cs="Times New Roman"/>
        </w:rPr>
      </w:pPr>
      <w:r>
        <w:rPr>
          <w:rStyle w:val="10"/>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Membuat Akta Kematian di Kota Jogja</w:t>
      </w:r>
      <w:r>
        <w:rPr>
          <w:rFonts w:ascii="Times New Roman" w:hAnsi="Times New Roman" w:cs="Times New Roman"/>
          <w:lang w:val="en-US"/>
        </w:rPr>
        <w:t xml:space="preserve">” </w:t>
      </w:r>
      <w:r>
        <w:fldChar w:fldCharType="begin"/>
      </w:r>
      <w:r>
        <w:instrText xml:space="preserve"> HYPERLINK "http://mutuku.blogdetik.com/2011/02/26/membuat-akta-kematian-di-kota-jogja" </w:instrText>
      </w:r>
      <w:r>
        <w:fldChar w:fldCharType="separate"/>
      </w:r>
      <w:r>
        <w:rPr>
          <w:rStyle w:val="11"/>
          <w:rFonts w:ascii="Times New Roman" w:hAnsi="Times New Roman" w:cs="Times New Roman"/>
          <w:color w:val="auto"/>
          <w:u w:val="none"/>
        </w:rPr>
        <w:t>http://mutuku.blogdetik.com/2011/02/26/membuat-akta-kematian-di-kota-jogja</w:t>
      </w:r>
      <w:r>
        <w:rPr>
          <w:rStyle w:val="11"/>
          <w:rFonts w:ascii="Times New Roman" w:hAnsi="Times New Roman" w:cs="Times New Roman"/>
          <w:color w:val="auto"/>
          <w:u w:val="none"/>
        </w:rPr>
        <w:fldChar w:fldCharType="end"/>
      </w:r>
      <w:r>
        <w:rPr>
          <w:rFonts w:ascii="Times New Roman" w:hAnsi="Times New Roman" w:cs="Times New Roman"/>
        </w:rPr>
        <w:t xml:space="preserve"> </w:t>
      </w:r>
      <w:r>
        <w:rPr>
          <w:rFonts w:ascii="Times New Roman" w:hAnsi="Times New Roman" w:cs="Times New Roman"/>
          <w:lang w:val="en-US"/>
        </w:rPr>
        <w:t>(D</w:t>
      </w:r>
      <w:r>
        <w:rPr>
          <w:rFonts w:ascii="Times New Roman" w:hAnsi="Times New Roman" w:cs="Times New Roman"/>
        </w:rPr>
        <w:t>iakses tanggal 20 Desember 2015</w:t>
      </w:r>
      <w:r>
        <w:rPr>
          <w:rFonts w:ascii="Times New Roman" w:hAnsi="Times New Roman" w:cs="Times New Roman"/>
          <w:lang w:val="en-US"/>
        </w:rPr>
        <w:t>)</w:t>
      </w:r>
      <w:r>
        <w:rPr>
          <w:rFonts w:ascii="Times New Roman" w:hAnsi="Times New Roman" w:cs="Times New Roman"/>
        </w:rPr>
        <w:t>.</w:t>
      </w:r>
    </w:p>
  </w:footnote>
  <w:footnote w:id="11">
    <w:p>
      <w:pPr>
        <w:pStyle w:val="6"/>
        <w:rPr>
          <w:rFonts w:ascii="Times New Roman" w:hAnsi="Times New Roman" w:cs="Times New Roman"/>
          <w:lang w:val="en-US"/>
        </w:rPr>
      </w:pPr>
      <w:r>
        <w:rPr>
          <w:rStyle w:val="10"/>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 xml:space="preserve">Badan Pusat Statistik Kota Yogyakarta, </w:t>
      </w:r>
      <w:r>
        <w:rPr>
          <w:rFonts w:ascii="Times New Roman" w:hAnsi="Times New Roman" w:cs="Times New Roman"/>
          <w:i/>
          <w:lang w:val="en-US"/>
        </w:rPr>
        <w:t>Kota Yogyakarta Dalam Angka Tahun 2015</w:t>
      </w:r>
      <w:r>
        <w:rPr>
          <w:rFonts w:ascii="Times New Roman" w:hAnsi="Times New Roman" w:cs="Times New Roman"/>
          <w:lang w:val="en-US"/>
        </w:rPr>
        <w:t>, (Yogyakarta: BPS, 2015): 56.</w:t>
      </w:r>
    </w:p>
  </w:footnote>
  <w:footnote w:id="12">
    <w:p>
      <w:pPr>
        <w:pStyle w:val="6"/>
        <w:jc w:val="both"/>
        <w:rPr>
          <w:rFonts w:ascii="Times New Roman" w:hAnsi="Times New Roman" w:cs="Times New Roman"/>
        </w:rPr>
      </w:pPr>
      <w:r>
        <w:rPr>
          <w:rStyle w:val="10"/>
          <w:rFonts w:ascii="Times New Roman" w:hAnsi="Times New Roman" w:cs="Times New Roman"/>
        </w:rPr>
        <w:footnoteRef/>
      </w:r>
      <w:r>
        <w:rPr>
          <w:rFonts w:ascii="Times New Roman" w:hAnsi="Times New Roman" w:cs="Times New Roman"/>
        </w:rPr>
        <w:t xml:space="preserve"> Biaya Kematian itu Berapa? </w:t>
      </w:r>
      <w:r>
        <w:rPr>
          <w:rStyle w:val="11"/>
          <w:rFonts w:ascii="Times New Roman" w:hAnsi="Times New Roman" w:cs="Times New Roman"/>
        </w:rPr>
        <w:fldChar w:fldCharType="begin"/>
      </w:r>
      <w:r>
        <w:rPr>
          <w:rStyle w:val="11"/>
          <w:rFonts w:ascii="Times New Roman" w:hAnsi="Times New Roman" w:cs="Times New Roman"/>
        </w:rPr>
        <w:instrText xml:space="preserve"> HYPERLINK "http://jagongan.org/2014/10/27/biaya-kematian-itu-berapa/" </w:instrText>
      </w:r>
      <w:r>
        <w:rPr>
          <w:rStyle w:val="11"/>
          <w:rFonts w:ascii="Times New Roman" w:hAnsi="Times New Roman" w:cs="Times New Roman"/>
        </w:rPr>
        <w:fldChar w:fldCharType="separate"/>
      </w:r>
      <w:r>
        <w:rPr>
          <w:rStyle w:val="11"/>
          <w:rFonts w:ascii="Times New Roman" w:hAnsi="Times New Roman" w:cs="Times New Roman"/>
        </w:rPr>
        <w:t>http://jagongan.org/2014/10/27/biaya-kematian-itu-berapa/</w:t>
      </w:r>
      <w:r>
        <w:rPr>
          <w:rStyle w:val="11"/>
          <w:rFonts w:ascii="Times New Roman" w:hAnsi="Times New Roman" w:cs="Times New Roman"/>
        </w:rPr>
        <w:fldChar w:fldCharType="end"/>
      </w:r>
      <w:r>
        <w:rPr>
          <w:rFonts w:ascii="Times New Roman" w:hAnsi="Times New Roman" w:cs="Times New Roman"/>
        </w:rPr>
        <w:t>. Bahkan bagi warga pendatang harga satu lubang makam dapat mencapai Rp 5.000.000,00, bervariasi di masing-masing daerah. Tetapi tanah makam yang dikelola oleh pemerintah (TPU) hanya membayar retribusi Rp 25 ribu dan perpanjangan Rp 15 ribu.</w:t>
      </w:r>
    </w:p>
  </w:footnote>
  <w:footnote w:id="13">
    <w:p>
      <w:pPr>
        <w:pStyle w:val="6"/>
        <w:jc w:val="both"/>
        <w:rPr>
          <w:rFonts w:ascii="Times New Roman" w:hAnsi="Times New Roman" w:cs="Times New Roman"/>
        </w:rPr>
      </w:pPr>
      <w:r>
        <w:rPr>
          <w:rStyle w:val="10"/>
          <w:rFonts w:ascii="Times New Roman" w:hAnsi="Times New Roman" w:cs="Times New Roman"/>
        </w:rPr>
        <w:footnoteRef/>
      </w:r>
      <w:r>
        <w:rPr>
          <w:rFonts w:ascii="Times New Roman" w:hAnsi="Times New Roman" w:cs="Times New Roman"/>
          <w:lang w:val="en-US"/>
        </w:rPr>
        <w:t>Antaranews, “</w:t>
      </w:r>
      <w:r>
        <w:rPr>
          <w:rFonts w:ascii="Times New Roman" w:hAnsi="Times New Roman" w:cs="Times New Roman"/>
        </w:rPr>
        <w:t>Realisasi santunan kematian Yogyakarta capai 75 persen</w:t>
      </w:r>
      <w:r>
        <w:rPr>
          <w:rFonts w:ascii="Times New Roman" w:hAnsi="Times New Roman" w:cs="Times New Roman"/>
          <w:lang w:val="en-US"/>
        </w:rPr>
        <w:t xml:space="preserve">”, </w:t>
      </w:r>
      <w:r>
        <w:rPr>
          <w:rFonts w:ascii="Times New Roman" w:hAnsi="Times New Roman" w:cs="Times New Roman"/>
        </w:rPr>
        <w:t xml:space="preserve"> </w:t>
      </w:r>
      <w:r>
        <w:fldChar w:fldCharType="begin"/>
      </w:r>
      <w:r>
        <w:instrText xml:space="preserve"> HYPERLINK "http://www.antaranews.com/berita/520862/realisasi-santunan-kematian-yogyakarta-capai-75-persen" </w:instrText>
      </w:r>
      <w:r>
        <w:fldChar w:fldCharType="separate"/>
      </w:r>
      <w:r>
        <w:rPr>
          <w:rStyle w:val="11"/>
          <w:rFonts w:ascii="Times New Roman" w:hAnsi="Times New Roman" w:cs="Times New Roman"/>
          <w:color w:val="auto"/>
          <w:u w:val="none"/>
        </w:rPr>
        <w:t>http://www.antaranews.com/berita/520862/realisasi-santunan-kematian-yogyakarta-capai-75-persen</w:t>
      </w:r>
      <w:r>
        <w:rPr>
          <w:rStyle w:val="11"/>
          <w:rFonts w:ascii="Times New Roman" w:hAnsi="Times New Roman" w:cs="Times New Roman"/>
          <w:color w:val="auto"/>
          <w:u w:val="none"/>
        </w:rPr>
        <w:fldChar w:fldCharType="end"/>
      </w:r>
      <w:r>
        <w:rPr>
          <w:rFonts w:ascii="Times New Roman" w:hAnsi="Times New Roman" w:cs="Times New Roman"/>
        </w:rPr>
        <w:t xml:space="preserve">, </w:t>
      </w:r>
      <w:r>
        <w:rPr>
          <w:rFonts w:ascii="Times New Roman" w:hAnsi="Times New Roman" w:cs="Times New Roman"/>
          <w:lang w:val="en-US"/>
        </w:rPr>
        <w:t>(D</w:t>
      </w:r>
      <w:r>
        <w:rPr>
          <w:rFonts w:ascii="Times New Roman" w:hAnsi="Times New Roman" w:cs="Times New Roman"/>
        </w:rPr>
        <w:t>iakses tanggl 21 Desember 2015</w:t>
      </w:r>
      <w:r>
        <w:rPr>
          <w:rFonts w:ascii="Times New Roman" w:hAnsi="Times New Roman" w:cs="Times New Roman"/>
          <w:lang w:val="en-US"/>
        </w:rPr>
        <w:t>)</w:t>
      </w:r>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A1A708"/>
    <w:multiLevelType w:val="singleLevel"/>
    <w:tmpl w:val="8EA1A708"/>
    <w:lvl w:ilvl="0" w:tentative="0">
      <w:start w:val="1"/>
      <w:numFmt w:val="upperLetter"/>
      <w:suff w:val="space"/>
      <w:lvlText w:val="%1."/>
      <w:lvlJc w:val="left"/>
    </w:lvl>
  </w:abstractNum>
  <w:abstractNum w:abstractNumId="1">
    <w:nsid w:val="01024611"/>
    <w:multiLevelType w:val="multilevel"/>
    <w:tmpl w:val="0102461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4A233DC"/>
    <w:multiLevelType w:val="multilevel"/>
    <w:tmpl w:val="14A233D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204"/>
    <w:rsid w:val="00005229"/>
    <w:rsid w:val="00013411"/>
    <w:rsid w:val="000135FE"/>
    <w:rsid w:val="0001360D"/>
    <w:rsid w:val="0001378D"/>
    <w:rsid w:val="0001480B"/>
    <w:rsid w:val="00014E38"/>
    <w:rsid w:val="00016898"/>
    <w:rsid w:val="00022DD7"/>
    <w:rsid w:val="00024BC3"/>
    <w:rsid w:val="00027228"/>
    <w:rsid w:val="0003700F"/>
    <w:rsid w:val="00041E7E"/>
    <w:rsid w:val="000438D6"/>
    <w:rsid w:val="0004604B"/>
    <w:rsid w:val="00050DD0"/>
    <w:rsid w:val="000522CA"/>
    <w:rsid w:val="0005677A"/>
    <w:rsid w:val="00056DCE"/>
    <w:rsid w:val="00057079"/>
    <w:rsid w:val="0006237F"/>
    <w:rsid w:val="00063270"/>
    <w:rsid w:val="00067D1F"/>
    <w:rsid w:val="00070F0E"/>
    <w:rsid w:val="00074A35"/>
    <w:rsid w:val="0007774C"/>
    <w:rsid w:val="0008203A"/>
    <w:rsid w:val="00082296"/>
    <w:rsid w:val="00084E62"/>
    <w:rsid w:val="00091996"/>
    <w:rsid w:val="000932CF"/>
    <w:rsid w:val="00096D0E"/>
    <w:rsid w:val="000A04A8"/>
    <w:rsid w:val="000A14E2"/>
    <w:rsid w:val="000A15FD"/>
    <w:rsid w:val="000A30FF"/>
    <w:rsid w:val="000A4CB0"/>
    <w:rsid w:val="000B05CA"/>
    <w:rsid w:val="000B2495"/>
    <w:rsid w:val="000B3696"/>
    <w:rsid w:val="000B709F"/>
    <w:rsid w:val="000C2742"/>
    <w:rsid w:val="000C5472"/>
    <w:rsid w:val="000D1119"/>
    <w:rsid w:val="000D302B"/>
    <w:rsid w:val="000E35A4"/>
    <w:rsid w:val="000E40EC"/>
    <w:rsid w:val="000E441B"/>
    <w:rsid w:val="000E5D1C"/>
    <w:rsid w:val="000F1060"/>
    <w:rsid w:val="000F3515"/>
    <w:rsid w:val="000F541A"/>
    <w:rsid w:val="000F724F"/>
    <w:rsid w:val="00100889"/>
    <w:rsid w:val="001042DC"/>
    <w:rsid w:val="00107559"/>
    <w:rsid w:val="00110ADB"/>
    <w:rsid w:val="00111770"/>
    <w:rsid w:val="00121054"/>
    <w:rsid w:val="00122E05"/>
    <w:rsid w:val="00135C04"/>
    <w:rsid w:val="00137232"/>
    <w:rsid w:val="00140FF0"/>
    <w:rsid w:val="00154879"/>
    <w:rsid w:val="001562D6"/>
    <w:rsid w:val="00156514"/>
    <w:rsid w:val="00157808"/>
    <w:rsid w:val="001725EC"/>
    <w:rsid w:val="00174012"/>
    <w:rsid w:val="00175C21"/>
    <w:rsid w:val="001812D7"/>
    <w:rsid w:val="00185941"/>
    <w:rsid w:val="001925D1"/>
    <w:rsid w:val="001952F6"/>
    <w:rsid w:val="001A202D"/>
    <w:rsid w:val="001A3C19"/>
    <w:rsid w:val="001A3DE2"/>
    <w:rsid w:val="001B36FE"/>
    <w:rsid w:val="001B3BBB"/>
    <w:rsid w:val="001B6A48"/>
    <w:rsid w:val="001C0073"/>
    <w:rsid w:val="001C2AA2"/>
    <w:rsid w:val="001C3895"/>
    <w:rsid w:val="001C67B1"/>
    <w:rsid w:val="001C71B0"/>
    <w:rsid w:val="001C7308"/>
    <w:rsid w:val="001D0992"/>
    <w:rsid w:val="001D17F9"/>
    <w:rsid w:val="001D2061"/>
    <w:rsid w:val="001D29A6"/>
    <w:rsid w:val="001D66B4"/>
    <w:rsid w:val="001E4CFB"/>
    <w:rsid w:val="001E5BC1"/>
    <w:rsid w:val="001E7A85"/>
    <w:rsid w:val="001F0205"/>
    <w:rsid w:val="001F1612"/>
    <w:rsid w:val="001F2958"/>
    <w:rsid w:val="001F2D09"/>
    <w:rsid w:val="001F78D5"/>
    <w:rsid w:val="00207DF5"/>
    <w:rsid w:val="00213705"/>
    <w:rsid w:val="002149C6"/>
    <w:rsid w:val="00225DCC"/>
    <w:rsid w:val="00230157"/>
    <w:rsid w:val="00236699"/>
    <w:rsid w:val="002368A3"/>
    <w:rsid w:val="00244D72"/>
    <w:rsid w:val="00246EC0"/>
    <w:rsid w:val="00260554"/>
    <w:rsid w:val="00261A2F"/>
    <w:rsid w:val="00262F4D"/>
    <w:rsid w:val="0026616F"/>
    <w:rsid w:val="002675DC"/>
    <w:rsid w:val="002705FA"/>
    <w:rsid w:val="00271FBF"/>
    <w:rsid w:val="00272C1C"/>
    <w:rsid w:val="00274738"/>
    <w:rsid w:val="00275274"/>
    <w:rsid w:val="00275488"/>
    <w:rsid w:val="00277421"/>
    <w:rsid w:val="00277C66"/>
    <w:rsid w:val="00277D98"/>
    <w:rsid w:val="00284913"/>
    <w:rsid w:val="002854E9"/>
    <w:rsid w:val="002856E0"/>
    <w:rsid w:val="00285A0B"/>
    <w:rsid w:val="002918A3"/>
    <w:rsid w:val="0029240F"/>
    <w:rsid w:val="00293E35"/>
    <w:rsid w:val="002A17CD"/>
    <w:rsid w:val="002A5F60"/>
    <w:rsid w:val="002B3B84"/>
    <w:rsid w:val="002B685B"/>
    <w:rsid w:val="002C5BC2"/>
    <w:rsid w:val="002C62F0"/>
    <w:rsid w:val="002D4ACE"/>
    <w:rsid w:val="002D7088"/>
    <w:rsid w:val="002E7040"/>
    <w:rsid w:val="002F0FE4"/>
    <w:rsid w:val="002F4CD4"/>
    <w:rsid w:val="002F4F2C"/>
    <w:rsid w:val="002F6412"/>
    <w:rsid w:val="00303190"/>
    <w:rsid w:val="00306570"/>
    <w:rsid w:val="00311097"/>
    <w:rsid w:val="003159F2"/>
    <w:rsid w:val="00322691"/>
    <w:rsid w:val="003242B3"/>
    <w:rsid w:val="00327632"/>
    <w:rsid w:val="003336EF"/>
    <w:rsid w:val="00335B4E"/>
    <w:rsid w:val="003374D2"/>
    <w:rsid w:val="003420C5"/>
    <w:rsid w:val="00344011"/>
    <w:rsid w:val="00344AC0"/>
    <w:rsid w:val="0034646D"/>
    <w:rsid w:val="00352BDB"/>
    <w:rsid w:val="0035375D"/>
    <w:rsid w:val="00363BB7"/>
    <w:rsid w:val="003656F9"/>
    <w:rsid w:val="00370B37"/>
    <w:rsid w:val="003738B4"/>
    <w:rsid w:val="00377E40"/>
    <w:rsid w:val="00377F18"/>
    <w:rsid w:val="00381551"/>
    <w:rsid w:val="00381967"/>
    <w:rsid w:val="00383C21"/>
    <w:rsid w:val="00390930"/>
    <w:rsid w:val="003918FB"/>
    <w:rsid w:val="003923C9"/>
    <w:rsid w:val="00394FFD"/>
    <w:rsid w:val="0039606F"/>
    <w:rsid w:val="003A0750"/>
    <w:rsid w:val="003A1866"/>
    <w:rsid w:val="003A3326"/>
    <w:rsid w:val="003B0CEF"/>
    <w:rsid w:val="003B0D42"/>
    <w:rsid w:val="003B3619"/>
    <w:rsid w:val="003B440A"/>
    <w:rsid w:val="003B53EB"/>
    <w:rsid w:val="003C0B5F"/>
    <w:rsid w:val="003C190D"/>
    <w:rsid w:val="003C28EC"/>
    <w:rsid w:val="003C349A"/>
    <w:rsid w:val="003C3980"/>
    <w:rsid w:val="003C6E63"/>
    <w:rsid w:val="003C7622"/>
    <w:rsid w:val="003D1CDF"/>
    <w:rsid w:val="003D28FD"/>
    <w:rsid w:val="003D3282"/>
    <w:rsid w:val="003D3C15"/>
    <w:rsid w:val="003D4951"/>
    <w:rsid w:val="003D7D11"/>
    <w:rsid w:val="003E06FF"/>
    <w:rsid w:val="003E482A"/>
    <w:rsid w:val="003E55FF"/>
    <w:rsid w:val="003E76CC"/>
    <w:rsid w:val="003F23FC"/>
    <w:rsid w:val="003F34B7"/>
    <w:rsid w:val="003F373A"/>
    <w:rsid w:val="00403204"/>
    <w:rsid w:val="004039DC"/>
    <w:rsid w:val="0040565B"/>
    <w:rsid w:val="0040635D"/>
    <w:rsid w:val="004145EE"/>
    <w:rsid w:val="00414CCC"/>
    <w:rsid w:val="00416DA9"/>
    <w:rsid w:val="00422DFA"/>
    <w:rsid w:val="0042311F"/>
    <w:rsid w:val="00423ABA"/>
    <w:rsid w:val="004262DB"/>
    <w:rsid w:val="00426A96"/>
    <w:rsid w:val="004273E9"/>
    <w:rsid w:val="00436B56"/>
    <w:rsid w:val="00440A58"/>
    <w:rsid w:val="00450189"/>
    <w:rsid w:val="00460221"/>
    <w:rsid w:val="004642A2"/>
    <w:rsid w:val="00465C51"/>
    <w:rsid w:val="0046642C"/>
    <w:rsid w:val="00473062"/>
    <w:rsid w:val="00483FB4"/>
    <w:rsid w:val="004843ED"/>
    <w:rsid w:val="00485605"/>
    <w:rsid w:val="0049245F"/>
    <w:rsid w:val="00494D53"/>
    <w:rsid w:val="0049615F"/>
    <w:rsid w:val="004965F5"/>
    <w:rsid w:val="004A12C2"/>
    <w:rsid w:val="004B774A"/>
    <w:rsid w:val="004D122D"/>
    <w:rsid w:val="004E06E9"/>
    <w:rsid w:val="004E174C"/>
    <w:rsid w:val="004E48B6"/>
    <w:rsid w:val="004E6539"/>
    <w:rsid w:val="00500F4B"/>
    <w:rsid w:val="00501CB2"/>
    <w:rsid w:val="00502E41"/>
    <w:rsid w:val="005051A0"/>
    <w:rsid w:val="0050767D"/>
    <w:rsid w:val="0051316D"/>
    <w:rsid w:val="0051364C"/>
    <w:rsid w:val="00514014"/>
    <w:rsid w:val="0051531D"/>
    <w:rsid w:val="005165F1"/>
    <w:rsid w:val="0052317B"/>
    <w:rsid w:val="00524501"/>
    <w:rsid w:val="00527BB8"/>
    <w:rsid w:val="00527CCA"/>
    <w:rsid w:val="00531AF5"/>
    <w:rsid w:val="00531BB2"/>
    <w:rsid w:val="005365DE"/>
    <w:rsid w:val="005369E4"/>
    <w:rsid w:val="005404DB"/>
    <w:rsid w:val="00542DCC"/>
    <w:rsid w:val="0054387E"/>
    <w:rsid w:val="00543CFB"/>
    <w:rsid w:val="00544531"/>
    <w:rsid w:val="0054780A"/>
    <w:rsid w:val="00547C1F"/>
    <w:rsid w:val="00551E15"/>
    <w:rsid w:val="005520DE"/>
    <w:rsid w:val="00556003"/>
    <w:rsid w:val="0056066E"/>
    <w:rsid w:val="005608ED"/>
    <w:rsid w:val="00564BE1"/>
    <w:rsid w:val="00572C9D"/>
    <w:rsid w:val="00576245"/>
    <w:rsid w:val="00576A74"/>
    <w:rsid w:val="005772DE"/>
    <w:rsid w:val="005811F9"/>
    <w:rsid w:val="00586375"/>
    <w:rsid w:val="00590552"/>
    <w:rsid w:val="0059299A"/>
    <w:rsid w:val="00592D4F"/>
    <w:rsid w:val="005A46C0"/>
    <w:rsid w:val="005A7640"/>
    <w:rsid w:val="005B2BF2"/>
    <w:rsid w:val="005C20D5"/>
    <w:rsid w:val="005C3E5B"/>
    <w:rsid w:val="005C42A2"/>
    <w:rsid w:val="005C5EC4"/>
    <w:rsid w:val="005C7CB9"/>
    <w:rsid w:val="005D202E"/>
    <w:rsid w:val="005D41A7"/>
    <w:rsid w:val="005D542D"/>
    <w:rsid w:val="005D5CBB"/>
    <w:rsid w:val="005D6B08"/>
    <w:rsid w:val="005E17FE"/>
    <w:rsid w:val="005E1DC9"/>
    <w:rsid w:val="005E37FA"/>
    <w:rsid w:val="005E3C48"/>
    <w:rsid w:val="005E6C8B"/>
    <w:rsid w:val="005F41FD"/>
    <w:rsid w:val="005F652F"/>
    <w:rsid w:val="006005A0"/>
    <w:rsid w:val="00602CF5"/>
    <w:rsid w:val="00604D58"/>
    <w:rsid w:val="0060559A"/>
    <w:rsid w:val="0060716D"/>
    <w:rsid w:val="00611A93"/>
    <w:rsid w:val="006130A6"/>
    <w:rsid w:val="00614AFD"/>
    <w:rsid w:val="00621D6F"/>
    <w:rsid w:val="00622134"/>
    <w:rsid w:val="00623E30"/>
    <w:rsid w:val="00651041"/>
    <w:rsid w:val="00652CB4"/>
    <w:rsid w:val="00654B2B"/>
    <w:rsid w:val="00655D7B"/>
    <w:rsid w:val="0066222E"/>
    <w:rsid w:val="00662245"/>
    <w:rsid w:val="00676D1F"/>
    <w:rsid w:val="006770AA"/>
    <w:rsid w:val="00681732"/>
    <w:rsid w:val="00681940"/>
    <w:rsid w:val="00681A81"/>
    <w:rsid w:val="006825BC"/>
    <w:rsid w:val="00683008"/>
    <w:rsid w:val="00683374"/>
    <w:rsid w:val="00684856"/>
    <w:rsid w:val="00685F1D"/>
    <w:rsid w:val="0068688A"/>
    <w:rsid w:val="00691A2C"/>
    <w:rsid w:val="00694CE1"/>
    <w:rsid w:val="006A102B"/>
    <w:rsid w:val="006A10CD"/>
    <w:rsid w:val="006A23C1"/>
    <w:rsid w:val="006A3C16"/>
    <w:rsid w:val="006B56FC"/>
    <w:rsid w:val="006B7DA0"/>
    <w:rsid w:val="006C012C"/>
    <w:rsid w:val="006C1F12"/>
    <w:rsid w:val="006C20F4"/>
    <w:rsid w:val="006C53FA"/>
    <w:rsid w:val="006D3B71"/>
    <w:rsid w:val="006D5210"/>
    <w:rsid w:val="006E264B"/>
    <w:rsid w:val="006E2956"/>
    <w:rsid w:val="006E3888"/>
    <w:rsid w:val="006E3C48"/>
    <w:rsid w:val="006E3D3D"/>
    <w:rsid w:val="006E5330"/>
    <w:rsid w:val="006E56FA"/>
    <w:rsid w:val="006E57DC"/>
    <w:rsid w:val="006E5C5E"/>
    <w:rsid w:val="006F7FC9"/>
    <w:rsid w:val="00700BBB"/>
    <w:rsid w:val="00704CB1"/>
    <w:rsid w:val="007076B2"/>
    <w:rsid w:val="00711D31"/>
    <w:rsid w:val="007136F8"/>
    <w:rsid w:val="00715FCE"/>
    <w:rsid w:val="00717AB4"/>
    <w:rsid w:val="00720D96"/>
    <w:rsid w:val="007210D0"/>
    <w:rsid w:val="007215B9"/>
    <w:rsid w:val="00721BE8"/>
    <w:rsid w:val="00724871"/>
    <w:rsid w:val="007337B8"/>
    <w:rsid w:val="00734632"/>
    <w:rsid w:val="00734A1E"/>
    <w:rsid w:val="007350CA"/>
    <w:rsid w:val="007351A8"/>
    <w:rsid w:val="00736D0A"/>
    <w:rsid w:val="00740A14"/>
    <w:rsid w:val="00741A3D"/>
    <w:rsid w:val="00742A0A"/>
    <w:rsid w:val="0074387F"/>
    <w:rsid w:val="007509D7"/>
    <w:rsid w:val="00755BE5"/>
    <w:rsid w:val="00757144"/>
    <w:rsid w:val="007603E1"/>
    <w:rsid w:val="0076057B"/>
    <w:rsid w:val="0076188B"/>
    <w:rsid w:val="0076282B"/>
    <w:rsid w:val="00763DE2"/>
    <w:rsid w:val="00763FAB"/>
    <w:rsid w:val="0077036C"/>
    <w:rsid w:val="007709AC"/>
    <w:rsid w:val="007719DD"/>
    <w:rsid w:val="00771A75"/>
    <w:rsid w:val="007721BD"/>
    <w:rsid w:val="007766C1"/>
    <w:rsid w:val="00781A07"/>
    <w:rsid w:val="00783DFF"/>
    <w:rsid w:val="00790395"/>
    <w:rsid w:val="00794DDE"/>
    <w:rsid w:val="007964F7"/>
    <w:rsid w:val="00796666"/>
    <w:rsid w:val="007A7F71"/>
    <w:rsid w:val="007B0469"/>
    <w:rsid w:val="007B4AFD"/>
    <w:rsid w:val="007C06A6"/>
    <w:rsid w:val="007C1A7F"/>
    <w:rsid w:val="007D09A8"/>
    <w:rsid w:val="007D0AA0"/>
    <w:rsid w:val="007D1F53"/>
    <w:rsid w:val="007D57F2"/>
    <w:rsid w:val="007D5939"/>
    <w:rsid w:val="007E127B"/>
    <w:rsid w:val="007E1E53"/>
    <w:rsid w:val="007E54B1"/>
    <w:rsid w:val="007F1BC2"/>
    <w:rsid w:val="00800D54"/>
    <w:rsid w:val="00800FA9"/>
    <w:rsid w:val="008010AF"/>
    <w:rsid w:val="0080228F"/>
    <w:rsid w:val="00803065"/>
    <w:rsid w:val="0080492B"/>
    <w:rsid w:val="008055A8"/>
    <w:rsid w:val="0081283E"/>
    <w:rsid w:val="008160FC"/>
    <w:rsid w:val="0082098D"/>
    <w:rsid w:val="00823371"/>
    <w:rsid w:val="008239F2"/>
    <w:rsid w:val="00824A48"/>
    <w:rsid w:val="00825C00"/>
    <w:rsid w:val="008305A2"/>
    <w:rsid w:val="008317CC"/>
    <w:rsid w:val="008333E2"/>
    <w:rsid w:val="00834FD0"/>
    <w:rsid w:val="00841347"/>
    <w:rsid w:val="00850B91"/>
    <w:rsid w:val="008517A4"/>
    <w:rsid w:val="00852D2A"/>
    <w:rsid w:val="0085635B"/>
    <w:rsid w:val="00860645"/>
    <w:rsid w:val="00862E66"/>
    <w:rsid w:val="008635D8"/>
    <w:rsid w:val="00870B1F"/>
    <w:rsid w:val="00872833"/>
    <w:rsid w:val="008753AE"/>
    <w:rsid w:val="0087575C"/>
    <w:rsid w:val="00880AC7"/>
    <w:rsid w:val="00883A28"/>
    <w:rsid w:val="00883D38"/>
    <w:rsid w:val="008848F2"/>
    <w:rsid w:val="00884CF3"/>
    <w:rsid w:val="008869B0"/>
    <w:rsid w:val="00890D27"/>
    <w:rsid w:val="008A01A3"/>
    <w:rsid w:val="008A2054"/>
    <w:rsid w:val="008A4EED"/>
    <w:rsid w:val="008A6332"/>
    <w:rsid w:val="008B4142"/>
    <w:rsid w:val="008B638A"/>
    <w:rsid w:val="008B6D13"/>
    <w:rsid w:val="008C0CB2"/>
    <w:rsid w:val="008C2595"/>
    <w:rsid w:val="008D2EAD"/>
    <w:rsid w:val="008D4299"/>
    <w:rsid w:val="008E1BFB"/>
    <w:rsid w:val="008E1EA9"/>
    <w:rsid w:val="008F0087"/>
    <w:rsid w:val="0091044C"/>
    <w:rsid w:val="00910FDF"/>
    <w:rsid w:val="0091176E"/>
    <w:rsid w:val="00916ADB"/>
    <w:rsid w:val="00917AF0"/>
    <w:rsid w:val="00930C56"/>
    <w:rsid w:val="00930F8F"/>
    <w:rsid w:val="0093464B"/>
    <w:rsid w:val="00935A8D"/>
    <w:rsid w:val="00936CB3"/>
    <w:rsid w:val="00937C16"/>
    <w:rsid w:val="00943D43"/>
    <w:rsid w:val="00944F54"/>
    <w:rsid w:val="00945953"/>
    <w:rsid w:val="00947B49"/>
    <w:rsid w:val="00951BA9"/>
    <w:rsid w:val="00955069"/>
    <w:rsid w:val="009550A8"/>
    <w:rsid w:val="009565F9"/>
    <w:rsid w:val="00956C30"/>
    <w:rsid w:val="009607F2"/>
    <w:rsid w:val="00963264"/>
    <w:rsid w:val="00963313"/>
    <w:rsid w:val="0096613F"/>
    <w:rsid w:val="0097194B"/>
    <w:rsid w:val="0097260F"/>
    <w:rsid w:val="00977FE9"/>
    <w:rsid w:val="00990E0B"/>
    <w:rsid w:val="00997728"/>
    <w:rsid w:val="009B33A3"/>
    <w:rsid w:val="009B3479"/>
    <w:rsid w:val="009C5466"/>
    <w:rsid w:val="009C74C1"/>
    <w:rsid w:val="009D0FD7"/>
    <w:rsid w:val="009D22EE"/>
    <w:rsid w:val="009D54F4"/>
    <w:rsid w:val="009D5520"/>
    <w:rsid w:val="009E085B"/>
    <w:rsid w:val="009E1615"/>
    <w:rsid w:val="009E1A4C"/>
    <w:rsid w:val="009E2F05"/>
    <w:rsid w:val="009E55B0"/>
    <w:rsid w:val="009E62A0"/>
    <w:rsid w:val="009E7D9D"/>
    <w:rsid w:val="009F1341"/>
    <w:rsid w:val="009F231A"/>
    <w:rsid w:val="009F613E"/>
    <w:rsid w:val="009F6888"/>
    <w:rsid w:val="00A02F5C"/>
    <w:rsid w:val="00A0501A"/>
    <w:rsid w:val="00A05335"/>
    <w:rsid w:val="00A06E81"/>
    <w:rsid w:val="00A1311E"/>
    <w:rsid w:val="00A1459B"/>
    <w:rsid w:val="00A16966"/>
    <w:rsid w:val="00A17AB5"/>
    <w:rsid w:val="00A26C64"/>
    <w:rsid w:val="00A27180"/>
    <w:rsid w:val="00A36713"/>
    <w:rsid w:val="00A42C6E"/>
    <w:rsid w:val="00A514D5"/>
    <w:rsid w:val="00A51A3A"/>
    <w:rsid w:val="00A53ABD"/>
    <w:rsid w:val="00A55AC9"/>
    <w:rsid w:val="00A55F03"/>
    <w:rsid w:val="00A631F1"/>
    <w:rsid w:val="00A7328B"/>
    <w:rsid w:val="00A73AEC"/>
    <w:rsid w:val="00A73D68"/>
    <w:rsid w:val="00A74CD4"/>
    <w:rsid w:val="00A828E7"/>
    <w:rsid w:val="00A90888"/>
    <w:rsid w:val="00A9132A"/>
    <w:rsid w:val="00A914AE"/>
    <w:rsid w:val="00A91FA0"/>
    <w:rsid w:val="00A922C2"/>
    <w:rsid w:val="00A9462D"/>
    <w:rsid w:val="00A94F90"/>
    <w:rsid w:val="00A9518D"/>
    <w:rsid w:val="00A9763F"/>
    <w:rsid w:val="00AA0F73"/>
    <w:rsid w:val="00AA1059"/>
    <w:rsid w:val="00AA68D9"/>
    <w:rsid w:val="00AA772C"/>
    <w:rsid w:val="00AB0066"/>
    <w:rsid w:val="00AB033C"/>
    <w:rsid w:val="00AB15B3"/>
    <w:rsid w:val="00AB184C"/>
    <w:rsid w:val="00AB3D39"/>
    <w:rsid w:val="00AB3D5A"/>
    <w:rsid w:val="00AB4043"/>
    <w:rsid w:val="00AB7DCB"/>
    <w:rsid w:val="00AC171A"/>
    <w:rsid w:val="00AC3444"/>
    <w:rsid w:val="00AC50E3"/>
    <w:rsid w:val="00AD088F"/>
    <w:rsid w:val="00AD0CBF"/>
    <w:rsid w:val="00AD195A"/>
    <w:rsid w:val="00AD6619"/>
    <w:rsid w:val="00AE0B51"/>
    <w:rsid w:val="00AE225C"/>
    <w:rsid w:val="00AE4A9E"/>
    <w:rsid w:val="00AE7395"/>
    <w:rsid w:val="00AF153E"/>
    <w:rsid w:val="00AF2224"/>
    <w:rsid w:val="00AF7B0F"/>
    <w:rsid w:val="00B01F6D"/>
    <w:rsid w:val="00B10743"/>
    <w:rsid w:val="00B12E24"/>
    <w:rsid w:val="00B13DDF"/>
    <w:rsid w:val="00B14543"/>
    <w:rsid w:val="00B14805"/>
    <w:rsid w:val="00B14AF1"/>
    <w:rsid w:val="00B14F7D"/>
    <w:rsid w:val="00B16DC8"/>
    <w:rsid w:val="00B24838"/>
    <w:rsid w:val="00B25AED"/>
    <w:rsid w:val="00B30A56"/>
    <w:rsid w:val="00B36E82"/>
    <w:rsid w:val="00B43DEC"/>
    <w:rsid w:val="00B448DD"/>
    <w:rsid w:val="00B523C7"/>
    <w:rsid w:val="00B562E8"/>
    <w:rsid w:val="00B566B0"/>
    <w:rsid w:val="00B672AB"/>
    <w:rsid w:val="00B718F2"/>
    <w:rsid w:val="00B75799"/>
    <w:rsid w:val="00B8384D"/>
    <w:rsid w:val="00B861A5"/>
    <w:rsid w:val="00B8690D"/>
    <w:rsid w:val="00B9245D"/>
    <w:rsid w:val="00B927CE"/>
    <w:rsid w:val="00B931C9"/>
    <w:rsid w:val="00B9532B"/>
    <w:rsid w:val="00B95703"/>
    <w:rsid w:val="00B962ED"/>
    <w:rsid w:val="00BA5F82"/>
    <w:rsid w:val="00BB2586"/>
    <w:rsid w:val="00BB4ABE"/>
    <w:rsid w:val="00BB50C2"/>
    <w:rsid w:val="00BB6CD4"/>
    <w:rsid w:val="00BC1D53"/>
    <w:rsid w:val="00BC2A44"/>
    <w:rsid w:val="00BC7390"/>
    <w:rsid w:val="00BC7D65"/>
    <w:rsid w:val="00BD3BEE"/>
    <w:rsid w:val="00BD4388"/>
    <w:rsid w:val="00BD75A2"/>
    <w:rsid w:val="00BE0DC2"/>
    <w:rsid w:val="00BE1B4C"/>
    <w:rsid w:val="00BE6D7F"/>
    <w:rsid w:val="00BF0610"/>
    <w:rsid w:val="00BF19D7"/>
    <w:rsid w:val="00BF2144"/>
    <w:rsid w:val="00BF4C73"/>
    <w:rsid w:val="00BF515F"/>
    <w:rsid w:val="00BF54E9"/>
    <w:rsid w:val="00BF55A3"/>
    <w:rsid w:val="00BF5DFB"/>
    <w:rsid w:val="00BF625C"/>
    <w:rsid w:val="00BF6A94"/>
    <w:rsid w:val="00BF6E3F"/>
    <w:rsid w:val="00BF6FB1"/>
    <w:rsid w:val="00C01A52"/>
    <w:rsid w:val="00C035EA"/>
    <w:rsid w:val="00C05436"/>
    <w:rsid w:val="00C174E3"/>
    <w:rsid w:val="00C17F80"/>
    <w:rsid w:val="00C22BD6"/>
    <w:rsid w:val="00C246EE"/>
    <w:rsid w:val="00C26D1B"/>
    <w:rsid w:val="00C332F6"/>
    <w:rsid w:val="00C37CBF"/>
    <w:rsid w:val="00C517A7"/>
    <w:rsid w:val="00C51920"/>
    <w:rsid w:val="00C56E58"/>
    <w:rsid w:val="00C605E6"/>
    <w:rsid w:val="00C630E4"/>
    <w:rsid w:val="00C63878"/>
    <w:rsid w:val="00C65C96"/>
    <w:rsid w:val="00C70686"/>
    <w:rsid w:val="00C716FA"/>
    <w:rsid w:val="00C768AA"/>
    <w:rsid w:val="00C802EF"/>
    <w:rsid w:val="00C832E0"/>
    <w:rsid w:val="00C85D0F"/>
    <w:rsid w:val="00C91C33"/>
    <w:rsid w:val="00C94165"/>
    <w:rsid w:val="00CA0428"/>
    <w:rsid w:val="00CA29CD"/>
    <w:rsid w:val="00CA3230"/>
    <w:rsid w:val="00CA3AED"/>
    <w:rsid w:val="00CA547F"/>
    <w:rsid w:val="00CA57C2"/>
    <w:rsid w:val="00CA64B2"/>
    <w:rsid w:val="00CB1675"/>
    <w:rsid w:val="00CB28D3"/>
    <w:rsid w:val="00CB3DC4"/>
    <w:rsid w:val="00CB4754"/>
    <w:rsid w:val="00CB6B5B"/>
    <w:rsid w:val="00CC3372"/>
    <w:rsid w:val="00CC4095"/>
    <w:rsid w:val="00CC4D1F"/>
    <w:rsid w:val="00CD48F2"/>
    <w:rsid w:val="00CE2D69"/>
    <w:rsid w:val="00CE3D67"/>
    <w:rsid w:val="00CE57BC"/>
    <w:rsid w:val="00CF03CF"/>
    <w:rsid w:val="00CF0498"/>
    <w:rsid w:val="00CF0B47"/>
    <w:rsid w:val="00CF21F0"/>
    <w:rsid w:val="00CF2975"/>
    <w:rsid w:val="00D02437"/>
    <w:rsid w:val="00D028FB"/>
    <w:rsid w:val="00D0294F"/>
    <w:rsid w:val="00D06CA7"/>
    <w:rsid w:val="00D15D46"/>
    <w:rsid w:val="00D225CF"/>
    <w:rsid w:val="00D25B8D"/>
    <w:rsid w:val="00D428B7"/>
    <w:rsid w:val="00D43B7C"/>
    <w:rsid w:val="00D44E60"/>
    <w:rsid w:val="00D46B7F"/>
    <w:rsid w:val="00D5026E"/>
    <w:rsid w:val="00D55170"/>
    <w:rsid w:val="00D55758"/>
    <w:rsid w:val="00D56C47"/>
    <w:rsid w:val="00D57384"/>
    <w:rsid w:val="00D6142D"/>
    <w:rsid w:val="00D63DB0"/>
    <w:rsid w:val="00D65705"/>
    <w:rsid w:val="00D66541"/>
    <w:rsid w:val="00D74E32"/>
    <w:rsid w:val="00D76E80"/>
    <w:rsid w:val="00D80931"/>
    <w:rsid w:val="00D87026"/>
    <w:rsid w:val="00D94972"/>
    <w:rsid w:val="00D972DD"/>
    <w:rsid w:val="00DA1CB7"/>
    <w:rsid w:val="00DA3590"/>
    <w:rsid w:val="00DA4383"/>
    <w:rsid w:val="00DB496E"/>
    <w:rsid w:val="00DC3550"/>
    <w:rsid w:val="00DC37D5"/>
    <w:rsid w:val="00DC389E"/>
    <w:rsid w:val="00DD26F3"/>
    <w:rsid w:val="00DD4B1D"/>
    <w:rsid w:val="00DE0290"/>
    <w:rsid w:val="00DE2905"/>
    <w:rsid w:val="00DE4E7F"/>
    <w:rsid w:val="00DE71DD"/>
    <w:rsid w:val="00DE736F"/>
    <w:rsid w:val="00DF028A"/>
    <w:rsid w:val="00DF041D"/>
    <w:rsid w:val="00DF3540"/>
    <w:rsid w:val="00DF4098"/>
    <w:rsid w:val="00DF4CB1"/>
    <w:rsid w:val="00DF4DBE"/>
    <w:rsid w:val="00DF591A"/>
    <w:rsid w:val="00DF6604"/>
    <w:rsid w:val="00E008D1"/>
    <w:rsid w:val="00E00DDF"/>
    <w:rsid w:val="00E00E48"/>
    <w:rsid w:val="00E04250"/>
    <w:rsid w:val="00E1220D"/>
    <w:rsid w:val="00E142C2"/>
    <w:rsid w:val="00E215F2"/>
    <w:rsid w:val="00E25066"/>
    <w:rsid w:val="00E25164"/>
    <w:rsid w:val="00E2571E"/>
    <w:rsid w:val="00E257F2"/>
    <w:rsid w:val="00E2709D"/>
    <w:rsid w:val="00E30600"/>
    <w:rsid w:val="00E30672"/>
    <w:rsid w:val="00E32F21"/>
    <w:rsid w:val="00E32F9F"/>
    <w:rsid w:val="00E417D9"/>
    <w:rsid w:val="00E437CB"/>
    <w:rsid w:val="00E44D8C"/>
    <w:rsid w:val="00E4719B"/>
    <w:rsid w:val="00E5061B"/>
    <w:rsid w:val="00E50EFE"/>
    <w:rsid w:val="00E52845"/>
    <w:rsid w:val="00E54464"/>
    <w:rsid w:val="00E56F86"/>
    <w:rsid w:val="00E57D27"/>
    <w:rsid w:val="00E61866"/>
    <w:rsid w:val="00E67687"/>
    <w:rsid w:val="00E70C07"/>
    <w:rsid w:val="00E7749D"/>
    <w:rsid w:val="00E77ACC"/>
    <w:rsid w:val="00E80AFD"/>
    <w:rsid w:val="00E83F6B"/>
    <w:rsid w:val="00E86303"/>
    <w:rsid w:val="00E93730"/>
    <w:rsid w:val="00E93E2D"/>
    <w:rsid w:val="00E9428D"/>
    <w:rsid w:val="00E95B9D"/>
    <w:rsid w:val="00EA20CD"/>
    <w:rsid w:val="00EA2CC4"/>
    <w:rsid w:val="00EA314E"/>
    <w:rsid w:val="00EB2150"/>
    <w:rsid w:val="00ED25EE"/>
    <w:rsid w:val="00ED29B9"/>
    <w:rsid w:val="00ED7884"/>
    <w:rsid w:val="00EE1738"/>
    <w:rsid w:val="00EE3A58"/>
    <w:rsid w:val="00EF02F8"/>
    <w:rsid w:val="00EF06E7"/>
    <w:rsid w:val="00EF4E7F"/>
    <w:rsid w:val="00EF60D6"/>
    <w:rsid w:val="00EF62C0"/>
    <w:rsid w:val="00EF7892"/>
    <w:rsid w:val="00F112E8"/>
    <w:rsid w:val="00F11E26"/>
    <w:rsid w:val="00F130F5"/>
    <w:rsid w:val="00F132B2"/>
    <w:rsid w:val="00F17D06"/>
    <w:rsid w:val="00F21CAC"/>
    <w:rsid w:val="00F24CAB"/>
    <w:rsid w:val="00F25123"/>
    <w:rsid w:val="00F2519A"/>
    <w:rsid w:val="00F30D9A"/>
    <w:rsid w:val="00F342D4"/>
    <w:rsid w:val="00F367F3"/>
    <w:rsid w:val="00F40B3D"/>
    <w:rsid w:val="00F42C71"/>
    <w:rsid w:val="00F44BA8"/>
    <w:rsid w:val="00F532B6"/>
    <w:rsid w:val="00F545CB"/>
    <w:rsid w:val="00F655BC"/>
    <w:rsid w:val="00F65999"/>
    <w:rsid w:val="00F65C42"/>
    <w:rsid w:val="00F6719F"/>
    <w:rsid w:val="00F67346"/>
    <w:rsid w:val="00F679EE"/>
    <w:rsid w:val="00F7214F"/>
    <w:rsid w:val="00F73785"/>
    <w:rsid w:val="00F75B66"/>
    <w:rsid w:val="00F77F9F"/>
    <w:rsid w:val="00F80F85"/>
    <w:rsid w:val="00F8372B"/>
    <w:rsid w:val="00F940D8"/>
    <w:rsid w:val="00FA05DF"/>
    <w:rsid w:val="00FA6AFE"/>
    <w:rsid w:val="00FA7AD7"/>
    <w:rsid w:val="00FB5D8D"/>
    <w:rsid w:val="00FC1D91"/>
    <w:rsid w:val="00FC2AFB"/>
    <w:rsid w:val="00FC2D57"/>
    <w:rsid w:val="00FC3544"/>
    <w:rsid w:val="00FD05A2"/>
    <w:rsid w:val="00FD0CBD"/>
    <w:rsid w:val="00FD2E30"/>
    <w:rsid w:val="00FD37C8"/>
    <w:rsid w:val="00FE499B"/>
    <w:rsid w:val="00FE49FF"/>
    <w:rsid w:val="00FE65BB"/>
    <w:rsid w:val="00FF24CC"/>
    <w:rsid w:val="00FF26FB"/>
    <w:rsid w:val="00FF4D45"/>
    <w:rsid w:val="00FF565D"/>
    <w:rsid w:val="00FF575E"/>
    <w:rsid w:val="00FF63E3"/>
    <w:rsid w:val="00FF7BD2"/>
    <w:rsid w:val="08D0C845"/>
    <w:rsid w:val="08FF13C7"/>
    <w:rsid w:val="0A1E4BF0"/>
    <w:rsid w:val="0F545CCF"/>
    <w:rsid w:val="1BB96A91"/>
    <w:rsid w:val="35E706E5"/>
    <w:rsid w:val="3E6F0F0A"/>
    <w:rsid w:val="48CF701E"/>
    <w:rsid w:val="58BE39CB"/>
    <w:rsid w:val="5949D6CE"/>
    <w:rsid w:val="5B4D5322"/>
    <w:rsid w:val="6218F635"/>
    <w:rsid w:val="684259D1"/>
    <w:rsid w:val="6F9D6D62"/>
    <w:rsid w:val="767D1F9F"/>
    <w:rsid w:val="78D768AF"/>
    <w:rsid w:val="7BFD79D3"/>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paragraph" w:styleId="2">
    <w:name w:val="heading 1"/>
    <w:basedOn w:val="1"/>
    <w:next w:val="1"/>
    <w:link w:val="21"/>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character" w:default="1" w:styleId="8">
    <w:name w:val="Default Paragraph Font"/>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9"/>
    <w:semiHidden/>
    <w:unhideWhenUsed/>
    <w:qFormat/>
    <w:uiPriority w:val="99"/>
    <w:pPr>
      <w:spacing w:after="0" w:line="240" w:lineRule="auto"/>
    </w:pPr>
    <w:rPr>
      <w:rFonts w:ascii="Tahoma" w:hAnsi="Tahoma" w:cs="Tahoma"/>
      <w:sz w:val="16"/>
      <w:szCs w:val="16"/>
    </w:rPr>
  </w:style>
  <w:style w:type="paragraph" w:styleId="4">
    <w:name w:val="endnote text"/>
    <w:basedOn w:val="1"/>
    <w:link w:val="17"/>
    <w:semiHidden/>
    <w:unhideWhenUsed/>
    <w:uiPriority w:val="99"/>
    <w:pPr>
      <w:spacing w:after="0" w:line="240" w:lineRule="auto"/>
    </w:pPr>
    <w:rPr>
      <w:sz w:val="20"/>
      <w:szCs w:val="20"/>
    </w:rPr>
  </w:style>
  <w:style w:type="paragraph" w:styleId="5">
    <w:name w:val="footer"/>
    <w:basedOn w:val="1"/>
    <w:link w:val="16"/>
    <w:unhideWhenUsed/>
    <w:uiPriority w:val="99"/>
    <w:pPr>
      <w:tabs>
        <w:tab w:val="center" w:pos="4513"/>
        <w:tab w:val="right" w:pos="9026"/>
      </w:tabs>
      <w:spacing w:after="0" w:line="240" w:lineRule="auto"/>
    </w:pPr>
  </w:style>
  <w:style w:type="paragraph" w:styleId="6">
    <w:name w:val="footnote text"/>
    <w:basedOn w:val="1"/>
    <w:link w:val="18"/>
    <w:unhideWhenUsed/>
    <w:uiPriority w:val="99"/>
    <w:pPr>
      <w:spacing w:after="0" w:line="240" w:lineRule="auto"/>
    </w:pPr>
    <w:rPr>
      <w:sz w:val="20"/>
      <w:szCs w:val="20"/>
    </w:rPr>
  </w:style>
  <w:style w:type="paragraph" w:styleId="7">
    <w:name w:val="header"/>
    <w:basedOn w:val="1"/>
    <w:link w:val="15"/>
    <w:unhideWhenUsed/>
    <w:uiPriority w:val="99"/>
    <w:pPr>
      <w:tabs>
        <w:tab w:val="center" w:pos="4513"/>
        <w:tab w:val="right" w:pos="9026"/>
      </w:tabs>
      <w:spacing w:after="0" w:line="240" w:lineRule="auto"/>
    </w:pPr>
  </w:style>
  <w:style w:type="character" w:styleId="9">
    <w:name w:val="endnote reference"/>
    <w:basedOn w:val="8"/>
    <w:semiHidden/>
    <w:unhideWhenUsed/>
    <w:uiPriority w:val="99"/>
    <w:rPr>
      <w:vertAlign w:val="superscript"/>
    </w:rPr>
  </w:style>
  <w:style w:type="character" w:styleId="10">
    <w:name w:val="footnote reference"/>
    <w:basedOn w:val="8"/>
    <w:semiHidden/>
    <w:unhideWhenUsed/>
    <w:uiPriority w:val="99"/>
    <w:rPr>
      <w:vertAlign w:val="superscript"/>
    </w:rPr>
  </w:style>
  <w:style w:type="character" w:styleId="11">
    <w:name w:val="Hyperlink"/>
    <w:basedOn w:val="8"/>
    <w:unhideWhenUsed/>
    <w:uiPriority w:val="99"/>
    <w:rPr>
      <w:color w:val="0000FF" w:themeColor="hyperlink"/>
      <w:u w:val="single"/>
      <w14:textFill>
        <w14:solidFill>
          <w14:schemeClr w14:val="hlink"/>
        </w14:solidFill>
      </w14:textFill>
    </w:rPr>
  </w:style>
  <w:style w:type="table" w:styleId="13">
    <w:name w:val="Table Grid"/>
    <w:basedOn w:val="12"/>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styleId="14">
    <w:name w:val="List Paragraph"/>
    <w:basedOn w:val="1"/>
    <w:qFormat/>
    <w:uiPriority w:val="34"/>
    <w:pPr>
      <w:ind w:left="720"/>
      <w:contextualSpacing/>
    </w:pPr>
  </w:style>
  <w:style w:type="character" w:customStyle="1" w:styleId="15">
    <w:name w:val="Header Char"/>
    <w:basedOn w:val="8"/>
    <w:link w:val="7"/>
    <w:uiPriority w:val="99"/>
  </w:style>
  <w:style w:type="character" w:customStyle="1" w:styleId="16">
    <w:name w:val="Footer Char"/>
    <w:basedOn w:val="8"/>
    <w:link w:val="5"/>
    <w:uiPriority w:val="99"/>
  </w:style>
  <w:style w:type="character" w:customStyle="1" w:styleId="17">
    <w:name w:val="Endnote Text Char"/>
    <w:basedOn w:val="8"/>
    <w:link w:val="4"/>
    <w:semiHidden/>
    <w:uiPriority w:val="99"/>
    <w:rPr>
      <w:sz w:val="20"/>
      <w:szCs w:val="20"/>
    </w:rPr>
  </w:style>
  <w:style w:type="character" w:customStyle="1" w:styleId="18">
    <w:name w:val="Footnote Text Char"/>
    <w:basedOn w:val="8"/>
    <w:link w:val="6"/>
    <w:uiPriority w:val="99"/>
    <w:rPr>
      <w:sz w:val="20"/>
      <w:szCs w:val="20"/>
    </w:rPr>
  </w:style>
  <w:style w:type="character" w:customStyle="1" w:styleId="19">
    <w:name w:val="Balloon Text Char"/>
    <w:basedOn w:val="8"/>
    <w:link w:val="3"/>
    <w:semiHidden/>
    <w:uiPriority w:val="99"/>
    <w:rPr>
      <w:rFonts w:ascii="Tahoma" w:hAnsi="Tahoma" w:cs="Tahoma"/>
      <w:sz w:val="16"/>
      <w:szCs w:val="16"/>
    </w:rPr>
  </w:style>
  <w:style w:type="character" w:customStyle="1" w:styleId="20">
    <w:name w:val="Unresolved Mention"/>
    <w:basedOn w:val="8"/>
    <w:semiHidden/>
    <w:unhideWhenUsed/>
    <w:uiPriority w:val="99"/>
    <w:rPr>
      <w:color w:val="605E5C"/>
      <w:shd w:val="clear" w:color="auto" w:fill="E1DFDD"/>
    </w:rPr>
  </w:style>
  <w:style w:type="character" w:customStyle="1" w:styleId="21">
    <w:name w:val="Heading 1 Char"/>
    <w:basedOn w:val="8"/>
    <w:link w:val="2"/>
    <w:uiPriority w:val="9"/>
    <w:rPr>
      <w:rFonts w:asciiTheme="majorHAnsi" w:hAnsiTheme="majorHAnsi" w:eastAsiaTheme="majorEastAsia" w:cstheme="majorBidi"/>
      <w:color w:val="376092"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CHICAGO.XSL" StyleName="Chicago" Version="16">
  <b:Source>
    <b:Tag>Cli57</b:Tag>
    <b:SourceType>JournalArticle</b:SourceType>
    <b:Guid>{F46C53DA-2692-483B-BB70-1E50118E6F40}</b:Guid>
    <b:Title>Ritual and Social Change: A Javanese Example</b:Title>
    <b:Year>1957</b:Year>
    <b:Author>
      <b:Author>
        <b:NameList>
          <b:Person>
            <b:Last>Geertz</b:Last>
            <b:First>Clifford</b:First>
          </b:Person>
        </b:NameList>
      </b:Author>
    </b:Author>
    <b:JournalName>American Anthropologist 59 (1)</b:JournalName>
    <b:Pages>32-54</b:Pages>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83AD8A-7AB3-436D-9F6A-E49D00F8F04C}">
  <ds:schemaRefs/>
</ds:datastoreItem>
</file>

<file path=docProps/app.xml><?xml version="1.0" encoding="utf-8"?>
<Properties xmlns="http://schemas.openxmlformats.org/officeDocument/2006/extended-properties" xmlns:vt="http://schemas.openxmlformats.org/officeDocument/2006/docPropsVTypes">
  <Template>Normal</Template>
  <Pages>14</Pages>
  <Words>3495</Words>
  <Characters>19928</Characters>
  <Lines>166</Lines>
  <Paragraphs>46</Paragraphs>
  <TotalTime>3</TotalTime>
  <ScaleCrop>false</ScaleCrop>
  <LinksUpToDate>false</LinksUpToDate>
  <CharactersWithSpaces>23377</CharactersWithSpaces>
  <Application>WPS Office_10.2.0.7439_F1E327BC-269C-435d-A152-05C5408002CA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2017-10-30T05:05:00Z</dcterms:created>
  <dc:creator>asus</dc:creator>
  <cp:lastModifiedBy>DELL</cp:lastModifiedBy>
  <dcterms:modified xsi:type="dcterms:W3CDTF">2018-07-31T09:21:54Z</dcterms:modified>
  <cp:revision>340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bf1d8454-64a4-300b-915c-91fddc30f795</vt:lpwstr>
  </property>
  <property fmtid="{D5CDD505-2E9C-101B-9397-08002B2CF9AE}" pid="24" name="Mendeley Citation Style_1">
    <vt:lpwstr>http://www.zotero.org/styles/chicago-author-date</vt:lpwstr>
  </property>
  <property fmtid="{D5CDD505-2E9C-101B-9397-08002B2CF9AE}" pid="25" name="KSOProductBuildVer">
    <vt:lpwstr>1033-10.2.0.7439</vt:lpwstr>
  </property>
</Properties>
</file>